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2713D" w14:textId="3634D56A" w:rsidR="00A24EE2" w:rsidRDefault="00A24EE2" w:rsidP="006D41AD">
      <w:pPr>
        <w:pStyle w:val="Heading2"/>
        <w:tabs>
          <w:tab w:val="left" w:pos="3837"/>
        </w:tabs>
        <w:rPr>
          <w:color w:val="auto"/>
          <w:sz w:val="22"/>
          <w:szCs w:val="22"/>
        </w:rPr>
      </w:pPr>
    </w:p>
    <w:p w14:paraId="13B51C66" w14:textId="77777777" w:rsidR="00382BFC" w:rsidRPr="005811EC" w:rsidRDefault="00382BFC" w:rsidP="008F167D">
      <w:pPr>
        <w:rPr>
          <w:rFonts w:cstheme="minorHAnsi"/>
          <w:b/>
          <w:sz w:val="24"/>
          <w:szCs w:val="24"/>
          <w:u w:val="single"/>
        </w:rPr>
      </w:pPr>
      <w:r w:rsidRPr="005811EC">
        <w:rPr>
          <w:rFonts w:cstheme="minorHAnsi"/>
          <w:b/>
          <w:sz w:val="24"/>
          <w:szCs w:val="24"/>
          <w:u w:val="single"/>
        </w:rPr>
        <w:t>EDGAR/Uniform Guidance Requirements</w:t>
      </w:r>
    </w:p>
    <w:p w14:paraId="260F374B" w14:textId="2FE5E491" w:rsidR="00382BFC" w:rsidRDefault="00382BFC" w:rsidP="008F167D">
      <w:pPr>
        <w:rPr>
          <w:rFonts w:cstheme="minorHAnsi"/>
          <w:color w:val="000000"/>
          <w:sz w:val="24"/>
          <w:szCs w:val="24"/>
        </w:rPr>
      </w:pPr>
      <w:r>
        <w:rPr>
          <w:rFonts w:cstheme="minorHAnsi"/>
          <w:sz w:val="24"/>
          <w:szCs w:val="24"/>
        </w:rPr>
        <w:t xml:space="preserve">All </w:t>
      </w:r>
      <w:r w:rsidR="00941E4C">
        <w:rPr>
          <w:rFonts w:cstheme="minorHAnsi"/>
          <w:sz w:val="24"/>
          <w:szCs w:val="24"/>
        </w:rPr>
        <w:t>Elementary and Secondary School Emergency Relief (</w:t>
      </w:r>
      <w:r>
        <w:rPr>
          <w:rFonts w:cstheme="minorHAnsi"/>
          <w:sz w:val="24"/>
          <w:szCs w:val="24"/>
        </w:rPr>
        <w:t>ESSER</w:t>
      </w:r>
      <w:r w:rsidR="00941E4C">
        <w:rPr>
          <w:rFonts w:cstheme="minorHAnsi"/>
          <w:sz w:val="24"/>
          <w:szCs w:val="24"/>
        </w:rPr>
        <w:t>)</w:t>
      </w:r>
      <w:r>
        <w:rPr>
          <w:rFonts w:cstheme="minorHAnsi"/>
          <w:sz w:val="24"/>
          <w:szCs w:val="24"/>
        </w:rPr>
        <w:t xml:space="preserve"> funding</w:t>
      </w:r>
      <w:r w:rsidR="00941E4C">
        <w:rPr>
          <w:rFonts w:cstheme="minorHAnsi"/>
          <w:sz w:val="24"/>
          <w:szCs w:val="24"/>
        </w:rPr>
        <w:t xml:space="preserve"> </w:t>
      </w:r>
      <w:r>
        <w:rPr>
          <w:rFonts w:cstheme="minorHAnsi"/>
          <w:sz w:val="24"/>
          <w:szCs w:val="24"/>
        </w:rPr>
        <w:t>is</w:t>
      </w:r>
      <w:r w:rsidRPr="00FA4C55">
        <w:rPr>
          <w:rFonts w:cstheme="minorHAnsi"/>
          <w:sz w:val="24"/>
          <w:szCs w:val="24"/>
        </w:rPr>
        <w:t xml:space="preserve"> subject to the </w:t>
      </w:r>
      <w:r>
        <w:rPr>
          <w:rFonts w:cstheme="minorHAnsi"/>
          <w:sz w:val="24"/>
          <w:szCs w:val="24"/>
        </w:rPr>
        <w:t>Education Department General Administrative Regulations (EDGAR), located at 34 CFR Parts 75, 76,</w:t>
      </w:r>
      <w:r>
        <w:rPr>
          <w:rStyle w:val="FootnoteReference"/>
          <w:rFonts w:cstheme="minorHAnsi"/>
          <w:sz w:val="24"/>
          <w:szCs w:val="24"/>
        </w:rPr>
        <w:footnoteReference w:id="1"/>
      </w:r>
      <w:r>
        <w:rPr>
          <w:rFonts w:cstheme="minorHAnsi"/>
          <w:sz w:val="24"/>
          <w:szCs w:val="24"/>
        </w:rPr>
        <w:t xml:space="preserve"> and the Uniform Administrative Requirements, Cost Principles, and Audit Requirements for Federal Awards</w:t>
      </w:r>
      <w:r>
        <w:t xml:space="preserve"> (</w:t>
      </w:r>
      <w:r w:rsidRPr="00FA4C55">
        <w:rPr>
          <w:rFonts w:cstheme="minorHAnsi"/>
          <w:color w:val="000000"/>
          <w:sz w:val="24"/>
          <w:szCs w:val="24"/>
        </w:rPr>
        <w:t>Uniform Guidance</w:t>
      </w:r>
      <w:r>
        <w:rPr>
          <w:rFonts w:cstheme="minorHAnsi"/>
          <w:color w:val="000000"/>
          <w:sz w:val="24"/>
          <w:szCs w:val="24"/>
        </w:rPr>
        <w:t xml:space="preserve">), located at </w:t>
      </w:r>
      <w:r w:rsidRPr="00FA4C55">
        <w:rPr>
          <w:rFonts w:cstheme="minorHAnsi"/>
          <w:color w:val="000000"/>
          <w:sz w:val="24"/>
          <w:szCs w:val="24"/>
        </w:rPr>
        <w:t>2 CFR Part 200.</w:t>
      </w:r>
      <w:r>
        <w:rPr>
          <w:rStyle w:val="FootnoteReference"/>
          <w:rFonts w:cstheme="minorHAnsi"/>
          <w:color w:val="000000"/>
          <w:sz w:val="24"/>
          <w:szCs w:val="24"/>
        </w:rPr>
        <w:footnoteReference w:id="2"/>
      </w:r>
      <w:r w:rsidRPr="00FA4C55">
        <w:rPr>
          <w:rFonts w:cstheme="minorHAnsi"/>
          <w:color w:val="000000"/>
          <w:sz w:val="24"/>
          <w:szCs w:val="24"/>
        </w:rPr>
        <w:t xml:space="preserve"> </w:t>
      </w:r>
    </w:p>
    <w:p w14:paraId="30C9019A" w14:textId="77777777" w:rsidR="00382BFC" w:rsidRDefault="00382BFC" w:rsidP="008F167D">
      <w:pPr>
        <w:rPr>
          <w:rFonts w:cstheme="minorHAnsi"/>
          <w:color w:val="000000"/>
          <w:sz w:val="24"/>
          <w:szCs w:val="24"/>
        </w:rPr>
      </w:pPr>
      <w:r>
        <w:rPr>
          <w:rFonts w:cstheme="minorHAnsi"/>
          <w:color w:val="000000"/>
          <w:sz w:val="24"/>
          <w:szCs w:val="24"/>
        </w:rPr>
        <w:t xml:space="preserve">All federal education funds must be necessary, reasonable, and allocable to the applicable federal grant program (2 CFR 200.403).  In addition, the Uniform Guidance procurement requirements must be followed when procuring goods or services with federal funds (2 CFR 200.318 – 200.327).  </w:t>
      </w:r>
    </w:p>
    <w:p w14:paraId="2A4F441E" w14:textId="77777777" w:rsidR="00382BFC" w:rsidRDefault="00382BFC" w:rsidP="008F167D">
      <w:pPr>
        <w:rPr>
          <w:rFonts w:cstheme="minorHAnsi"/>
          <w:color w:val="000000"/>
          <w:sz w:val="24"/>
          <w:szCs w:val="24"/>
        </w:rPr>
      </w:pPr>
      <w:r>
        <w:rPr>
          <w:rFonts w:cstheme="minorHAnsi"/>
          <w:color w:val="000000"/>
          <w:sz w:val="24"/>
          <w:szCs w:val="24"/>
        </w:rPr>
        <w:t xml:space="preserve">Equipment and </w:t>
      </w:r>
      <w:r w:rsidRPr="00FA4C55">
        <w:rPr>
          <w:rFonts w:cstheme="minorHAnsi"/>
          <w:color w:val="000000"/>
          <w:sz w:val="24"/>
          <w:szCs w:val="24"/>
        </w:rPr>
        <w:t xml:space="preserve">capital expenditures </w:t>
      </w:r>
      <w:r>
        <w:rPr>
          <w:rFonts w:cstheme="minorHAnsi"/>
          <w:color w:val="000000"/>
          <w:sz w:val="24"/>
          <w:szCs w:val="24"/>
        </w:rPr>
        <w:t>are</w:t>
      </w:r>
      <w:r w:rsidRPr="00FA4C55">
        <w:rPr>
          <w:rFonts w:cstheme="minorHAnsi"/>
          <w:color w:val="000000"/>
          <w:sz w:val="24"/>
          <w:szCs w:val="24"/>
        </w:rPr>
        <w:t xml:space="preserve"> allowable as direct costs</w:t>
      </w:r>
      <w:r>
        <w:rPr>
          <w:rFonts w:cstheme="minorHAnsi"/>
          <w:color w:val="000000"/>
          <w:sz w:val="24"/>
          <w:szCs w:val="24"/>
        </w:rPr>
        <w:t xml:space="preserve"> with approval from the awarding agency</w:t>
      </w:r>
      <w:r w:rsidRPr="00FA4C55">
        <w:rPr>
          <w:rFonts w:cstheme="minorHAnsi"/>
          <w:color w:val="000000"/>
          <w:sz w:val="24"/>
          <w:szCs w:val="24"/>
        </w:rPr>
        <w:t xml:space="preserve"> </w:t>
      </w:r>
      <w:r>
        <w:rPr>
          <w:rFonts w:cstheme="minorHAnsi"/>
          <w:color w:val="000000"/>
          <w:sz w:val="24"/>
          <w:szCs w:val="24"/>
        </w:rPr>
        <w:t>(</w:t>
      </w:r>
      <w:r w:rsidRPr="00FA4C55">
        <w:rPr>
          <w:rFonts w:cstheme="minorHAnsi"/>
          <w:color w:val="000000"/>
          <w:sz w:val="24"/>
          <w:szCs w:val="24"/>
        </w:rPr>
        <w:t xml:space="preserve">2 CFR </w:t>
      </w:r>
      <w:r w:rsidRPr="0072540C">
        <w:rPr>
          <w:rFonts w:cstheme="minorHAnsi"/>
          <w:color w:val="000000"/>
          <w:sz w:val="24"/>
          <w:szCs w:val="24"/>
        </w:rPr>
        <w:t>§</w:t>
      </w:r>
      <w:r>
        <w:rPr>
          <w:rFonts w:cstheme="minorHAnsi"/>
          <w:color w:val="000000"/>
          <w:sz w:val="24"/>
          <w:szCs w:val="24"/>
        </w:rPr>
        <w:t xml:space="preserve"> </w:t>
      </w:r>
      <w:r w:rsidRPr="00FA4C55">
        <w:rPr>
          <w:rFonts w:cstheme="minorHAnsi"/>
          <w:color w:val="000000"/>
          <w:sz w:val="24"/>
          <w:szCs w:val="24"/>
        </w:rPr>
        <w:t>200.439</w:t>
      </w:r>
      <w:r>
        <w:rPr>
          <w:rFonts w:cstheme="minorHAnsi"/>
          <w:color w:val="000000"/>
          <w:sz w:val="24"/>
          <w:szCs w:val="24"/>
        </w:rPr>
        <w:t xml:space="preserve">).  </w:t>
      </w:r>
    </w:p>
    <w:p w14:paraId="3DF4FE34" w14:textId="77777777" w:rsidR="00382BFC" w:rsidRPr="007E0233" w:rsidRDefault="00382BFC" w:rsidP="008F167D">
      <w:pPr>
        <w:rPr>
          <w:rFonts w:cstheme="minorHAnsi"/>
          <w:color w:val="000000"/>
          <w:sz w:val="24"/>
          <w:szCs w:val="24"/>
        </w:rPr>
      </w:pPr>
      <w:r>
        <w:rPr>
          <w:rFonts w:cstheme="minorHAnsi"/>
          <w:color w:val="000000"/>
          <w:sz w:val="24"/>
          <w:szCs w:val="24"/>
        </w:rPr>
        <w:t xml:space="preserve">Construction, when permitted under a program statute or </w:t>
      </w:r>
      <w:r w:rsidRPr="007E0233">
        <w:rPr>
          <w:rFonts w:cstheme="minorHAnsi"/>
          <w:color w:val="000000"/>
          <w:sz w:val="24"/>
          <w:szCs w:val="24"/>
        </w:rPr>
        <w:t xml:space="preserve">regulation, is allowable if it complies with the requirements in Part 75 of EDGAR, specifically sections </w:t>
      </w:r>
      <w:r w:rsidRPr="00482BF6">
        <w:rPr>
          <w:rFonts w:eastAsia="Times New Roman" w:cstheme="minorHAnsi"/>
          <w:color w:val="000000"/>
          <w:sz w:val="24"/>
          <w:szCs w:val="24"/>
        </w:rPr>
        <w:t xml:space="preserve">34 CFR </w:t>
      </w:r>
      <w:r w:rsidRPr="0072540C">
        <w:rPr>
          <w:rFonts w:cstheme="minorHAnsi"/>
          <w:color w:val="000000"/>
          <w:sz w:val="24"/>
          <w:szCs w:val="24"/>
        </w:rPr>
        <w:t>§§</w:t>
      </w:r>
      <w:r>
        <w:rPr>
          <w:rFonts w:cstheme="minorHAnsi"/>
          <w:color w:val="000000"/>
          <w:sz w:val="24"/>
          <w:szCs w:val="24"/>
        </w:rPr>
        <w:t xml:space="preserve"> </w:t>
      </w:r>
      <w:r w:rsidRPr="00482BF6">
        <w:rPr>
          <w:rFonts w:eastAsia="Times New Roman" w:cstheme="minorHAnsi"/>
          <w:color w:val="000000"/>
          <w:sz w:val="24"/>
          <w:szCs w:val="24"/>
        </w:rPr>
        <w:t>75.600-75.617</w:t>
      </w:r>
      <w:r w:rsidRPr="007E0233">
        <w:rPr>
          <w:rFonts w:eastAsia="Times New Roman" w:cstheme="minorHAnsi"/>
          <w:color w:val="000000"/>
          <w:sz w:val="24"/>
          <w:szCs w:val="24"/>
        </w:rPr>
        <w:t xml:space="preserve"> (34 CFR 76.600)</w:t>
      </w:r>
      <w:r w:rsidRPr="00482BF6">
        <w:rPr>
          <w:rFonts w:eastAsia="Times New Roman" w:cstheme="minorHAnsi"/>
          <w:color w:val="000000"/>
          <w:sz w:val="24"/>
          <w:szCs w:val="24"/>
        </w:rPr>
        <w:t>.</w:t>
      </w:r>
      <w:r>
        <w:rPr>
          <w:rFonts w:eastAsia="Times New Roman" w:cstheme="minorHAnsi"/>
          <w:color w:val="000000"/>
          <w:sz w:val="24"/>
          <w:szCs w:val="24"/>
        </w:rPr>
        <w:t xml:space="preserve">  Onsite technical inspections and certified percentage of completion data are relied on heavily to monitor progress for construction (2 CFR </w:t>
      </w:r>
      <w:r w:rsidRPr="0072540C">
        <w:rPr>
          <w:rFonts w:cstheme="minorHAnsi"/>
          <w:color w:val="000000"/>
          <w:sz w:val="24"/>
          <w:szCs w:val="24"/>
        </w:rPr>
        <w:t>§</w:t>
      </w:r>
      <w:r>
        <w:rPr>
          <w:rFonts w:cstheme="minorHAnsi"/>
          <w:color w:val="000000"/>
          <w:sz w:val="24"/>
          <w:szCs w:val="24"/>
        </w:rPr>
        <w:t xml:space="preserve"> </w:t>
      </w:r>
      <w:r>
        <w:rPr>
          <w:rFonts w:eastAsia="Times New Roman" w:cstheme="minorHAnsi"/>
          <w:color w:val="000000"/>
          <w:sz w:val="24"/>
          <w:szCs w:val="24"/>
        </w:rPr>
        <w:t xml:space="preserve">200.329(d)).  Therefore, KSDE may require additional performance reports when considered necessary. </w:t>
      </w:r>
    </w:p>
    <w:p w14:paraId="3CE5BED1" w14:textId="77777777" w:rsidR="006B36A8" w:rsidRDefault="006B36A8" w:rsidP="006B36A8">
      <w:pPr>
        <w:rPr>
          <w:rFonts w:cstheme="minorHAnsi"/>
          <w:b/>
          <w:color w:val="000000"/>
          <w:sz w:val="24"/>
          <w:szCs w:val="24"/>
          <w:u w:val="single"/>
        </w:rPr>
      </w:pPr>
    </w:p>
    <w:p w14:paraId="31884F87" w14:textId="77777777" w:rsidR="006B36A8" w:rsidRDefault="006B36A8" w:rsidP="006B36A8">
      <w:pPr>
        <w:rPr>
          <w:rFonts w:cstheme="minorHAnsi"/>
          <w:b/>
          <w:color w:val="000000"/>
          <w:sz w:val="24"/>
          <w:szCs w:val="24"/>
          <w:u w:val="single"/>
        </w:rPr>
      </w:pPr>
    </w:p>
    <w:p w14:paraId="2FF0C8FF" w14:textId="23EC0BAA" w:rsidR="006B36A8" w:rsidRPr="005811EC" w:rsidRDefault="006B36A8" w:rsidP="006B36A8">
      <w:pPr>
        <w:rPr>
          <w:rFonts w:cstheme="minorHAnsi"/>
          <w:b/>
          <w:color w:val="000000"/>
          <w:sz w:val="24"/>
          <w:szCs w:val="24"/>
          <w:u w:val="single"/>
        </w:rPr>
      </w:pPr>
      <w:r>
        <w:rPr>
          <w:rFonts w:cstheme="minorHAnsi"/>
          <w:b/>
          <w:color w:val="000000"/>
          <w:sz w:val="24"/>
          <w:szCs w:val="24"/>
          <w:u w:val="single"/>
        </w:rPr>
        <w:t xml:space="preserve">Submission and </w:t>
      </w:r>
      <w:r w:rsidRPr="005811EC">
        <w:rPr>
          <w:rFonts w:cstheme="minorHAnsi"/>
          <w:b/>
          <w:color w:val="000000"/>
          <w:sz w:val="24"/>
          <w:szCs w:val="24"/>
          <w:u w:val="single"/>
        </w:rPr>
        <w:t>Approval Process</w:t>
      </w:r>
    </w:p>
    <w:p w14:paraId="435BB494" w14:textId="77777777" w:rsidR="006B36A8" w:rsidRDefault="006B36A8" w:rsidP="006B36A8">
      <w:pPr>
        <w:pStyle w:val="CM6"/>
        <w:spacing w:after="240" w:line="276" w:lineRule="atLeast"/>
        <w:rPr>
          <w:rFonts w:asciiTheme="minorHAnsi" w:hAnsiTheme="minorHAnsi" w:cstheme="minorHAnsi"/>
          <w:color w:val="000000"/>
        </w:rPr>
      </w:pPr>
      <w:r w:rsidRPr="00FA4C55">
        <w:rPr>
          <w:rFonts w:asciiTheme="minorHAnsi" w:hAnsiTheme="minorHAnsi" w:cstheme="minorHAnsi"/>
          <w:color w:val="000000"/>
        </w:rPr>
        <w:t>By submitting th</w:t>
      </w:r>
      <w:r>
        <w:rPr>
          <w:rFonts w:asciiTheme="minorHAnsi" w:hAnsiTheme="minorHAnsi" w:cstheme="minorHAnsi"/>
          <w:color w:val="000000"/>
        </w:rPr>
        <w:t>e Approval Request</w:t>
      </w:r>
      <w:r w:rsidRPr="00FA4C55">
        <w:rPr>
          <w:rFonts w:asciiTheme="minorHAnsi" w:hAnsiTheme="minorHAnsi" w:cstheme="minorHAnsi"/>
          <w:color w:val="000000"/>
        </w:rPr>
        <w:t xml:space="preserve"> </w:t>
      </w:r>
      <w:r>
        <w:rPr>
          <w:rFonts w:asciiTheme="minorHAnsi" w:hAnsiTheme="minorHAnsi" w:cstheme="minorHAnsi"/>
          <w:color w:val="000000"/>
        </w:rPr>
        <w:t>F</w:t>
      </w:r>
      <w:r w:rsidRPr="00FA4C55">
        <w:rPr>
          <w:rFonts w:asciiTheme="minorHAnsi" w:hAnsiTheme="minorHAnsi" w:cstheme="minorHAnsi"/>
          <w:color w:val="000000"/>
        </w:rPr>
        <w:t xml:space="preserve">orm, you are agreeing </w:t>
      </w:r>
      <w:r>
        <w:rPr>
          <w:rFonts w:asciiTheme="minorHAnsi" w:hAnsiTheme="minorHAnsi" w:cstheme="minorHAnsi"/>
          <w:color w:val="000000"/>
        </w:rPr>
        <w:t>to comply with</w:t>
      </w:r>
      <w:r w:rsidRPr="00FA4C55">
        <w:rPr>
          <w:rFonts w:asciiTheme="minorHAnsi" w:hAnsiTheme="minorHAnsi" w:cstheme="minorHAnsi"/>
          <w:color w:val="000000"/>
        </w:rPr>
        <w:t xml:space="preserve"> all </w:t>
      </w:r>
      <w:r>
        <w:rPr>
          <w:rFonts w:asciiTheme="minorHAnsi" w:hAnsiTheme="minorHAnsi" w:cstheme="minorHAnsi"/>
          <w:color w:val="000000"/>
        </w:rPr>
        <w:t>federal, state and local rules and regulations applicable to obligating and expending</w:t>
      </w:r>
      <w:r w:rsidRPr="00FA4C55">
        <w:rPr>
          <w:rFonts w:asciiTheme="minorHAnsi" w:hAnsiTheme="minorHAnsi" w:cstheme="minorHAnsi"/>
          <w:color w:val="000000"/>
        </w:rPr>
        <w:t xml:space="preserve"> federal funds. The </w:t>
      </w:r>
      <w:r>
        <w:rPr>
          <w:rFonts w:asciiTheme="minorHAnsi" w:hAnsiTheme="minorHAnsi" w:cstheme="minorHAnsi"/>
          <w:color w:val="000000"/>
        </w:rPr>
        <w:t xml:space="preserve">Approval Request Form includes detailed information on the proposed cost as well as assurances that the request meets the requirements noted above.  </w:t>
      </w:r>
    </w:p>
    <w:p w14:paraId="302B78B8" w14:textId="77777777" w:rsidR="006B36A8" w:rsidRDefault="006B36A8" w:rsidP="006B36A8">
      <w:pPr>
        <w:pStyle w:val="CM6"/>
        <w:spacing w:after="240" w:line="276" w:lineRule="atLeast"/>
        <w:rPr>
          <w:rFonts w:asciiTheme="minorHAnsi" w:hAnsiTheme="minorHAnsi" w:cstheme="minorHAnsi"/>
          <w:color w:val="000000"/>
        </w:rPr>
      </w:pPr>
      <w:r>
        <w:rPr>
          <w:rFonts w:asciiTheme="minorHAnsi" w:hAnsiTheme="minorHAnsi" w:cstheme="minorHAnsi"/>
          <w:color w:val="000000"/>
        </w:rPr>
        <w:t xml:space="preserve">The completed request form and </w:t>
      </w:r>
      <w:r w:rsidRPr="00BA5173">
        <w:rPr>
          <w:rFonts w:ascii="Calibri" w:eastAsia="Calibri" w:hAnsi="Calibri" w:cs="Calibri"/>
          <w:bCs/>
        </w:rPr>
        <w:t>final working drawings and specifications</w:t>
      </w:r>
      <w:r>
        <w:rPr>
          <w:rFonts w:ascii="Calibri" w:eastAsia="Calibri" w:hAnsi="Calibri" w:cs="Calibri"/>
          <w:bCs/>
        </w:rPr>
        <w:t xml:space="preserve"> (if applicable)</w:t>
      </w:r>
      <w:r>
        <w:rPr>
          <w:rFonts w:asciiTheme="minorHAnsi" w:hAnsiTheme="minorHAnsi" w:cstheme="minorHAnsi"/>
          <w:color w:val="000000"/>
        </w:rPr>
        <w:t xml:space="preserve"> must be submitted to </w:t>
      </w:r>
      <w:hyperlink r:id="rId8" w:history="1">
        <w:r w:rsidRPr="00BC2F28">
          <w:rPr>
            <w:rStyle w:val="Hyperlink"/>
            <w:rFonts w:asciiTheme="minorHAnsi" w:hAnsiTheme="minorHAnsi" w:cstheme="minorHAnsi"/>
          </w:rPr>
          <w:t>ESSER@KSDE.ORG</w:t>
        </w:r>
      </w:hyperlink>
      <w:r>
        <w:rPr>
          <w:rFonts w:asciiTheme="minorHAnsi" w:hAnsiTheme="minorHAnsi" w:cstheme="minorHAnsi"/>
          <w:color w:val="000000"/>
        </w:rPr>
        <w:t xml:space="preserve"> for review and approval.  KSDE may </w:t>
      </w:r>
      <w:bookmarkStart w:id="0" w:name="_GoBack"/>
      <w:bookmarkEnd w:id="0"/>
      <w:r>
        <w:rPr>
          <w:rFonts w:asciiTheme="minorHAnsi" w:hAnsiTheme="minorHAnsi" w:cstheme="minorHAnsi"/>
          <w:color w:val="000000"/>
        </w:rPr>
        <w:t xml:space="preserve">at any time request additional or more detailed information, including but not limited to plans, drawings, etc., as determined necessary to ensure compliance. </w:t>
      </w:r>
    </w:p>
    <w:p w14:paraId="0EC2F45A" w14:textId="77777777" w:rsidR="006B36A8" w:rsidRDefault="006B36A8" w:rsidP="006B36A8">
      <w:pPr>
        <w:rPr>
          <w:rFonts w:cstheme="minorHAnsi"/>
          <w:sz w:val="24"/>
          <w:szCs w:val="24"/>
        </w:rPr>
      </w:pPr>
      <w:r w:rsidRPr="00BA5173">
        <w:rPr>
          <w:rFonts w:cstheme="minorHAnsi"/>
          <w:sz w:val="24"/>
          <w:szCs w:val="24"/>
        </w:rPr>
        <w:t>Additional</w:t>
      </w:r>
      <w:r>
        <w:rPr>
          <w:rFonts w:cstheme="minorHAnsi"/>
          <w:sz w:val="24"/>
          <w:szCs w:val="24"/>
        </w:rPr>
        <w:t xml:space="preserve"> details</w:t>
      </w:r>
      <w:r w:rsidRPr="00BA5173">
        <w:rPr>
          <w:rFonts w:cstheme="minorHAnsi"/>
          <w:sz w:val="24"/>
          <w:szCs w:val="24"/>
        </w:rPr>
        <w:t xml:space="preserve">, resources, guidance, </w:t>
      </w:r>
      <w:r>
        <w:rPr>
          <w:rFonts w:cstheme="minorHAnsi"/>
          <w:sz w:val="24"/>
          <w:szCs w:val="24"/>
        </w:rPr>
        <w:t xml:space="preserve">and training opportunities </w:t>
      </w:r>
      <w:r w:rsidRPr="00BA5173">
        <w:rPr>
          <w:rFonts w:cstheme="minorHAnsi"/>
          <w:sz w:val="24"/>
          <w:szCs w:val="24"/>
        </w:rPr>
        <w:t xml:space="preserve">will continue to be posted to </w:t>
      </w:r>
      <w:hyperlink r:id="rId9" w:history="1">
        <w:r w:rsidRPr="00BA5173">
          <w:rPr>
            <w:rStyle w:val="Hyperlink"/>
            <w:rFonts w:cstheme="minorHAnsi"/>
            <w:sz w:val="24"/>
            <w:szCs w:val="24"/>
          </w:rPr>
          <w:t>https://www.ksde.org/Agency/Division-of-Learning-Services/Special-Education-and-Title-Services/Federal-Disaster-and-Pandemic-Relief</w:t>
        </w:r>
      </w:hyperlink>
      <w:r w:rsidRPr="00BA5173">
        <w:rPr>
          <w:rFonts w:cstheme="minorHAnsi"/>
          <w:sz w:val="24"/>
          <w:szCs w:val="24"/>
        </w:rPr>
        <w:t xml:space="preserve"> as they become available.</w:t>
      </w:r>
      <w:r>
        <w:rPr>
          <w:rFonts w:cstheme="minorHAnsi"/>
          <w:sz w:val="24"/>
          <w:szCs w:val="24"/>
        </w:rPr>
        <w:t xml:space="preserve">  </w:t>
      </w:r>
    </w:p>
    <w:p w14:paraId="6824DB70" w14:textId="77777777" w:rsidR="006B36A8" w:rsidRPr="00BA5173" w:rsidRDefault="006B36A8" w:rsidP="006B36A8">
      <w:pPr>
        <w:rPr>
          <w:rFonts w:ascii="Open Sans Light" w:hAnsi="Open Sans Light" w:cs="Open Sans Light"/>
          <w:b/>
          <w:bCs/>
          <w:color w:val="333333"/>
          <w:sz w:val="24"/>
          <w:szCs w:val="24"/>
        </w:rPr>
      </w:pPr>
      <w:r w:rsidRPr="001C33FE">
        <w:rPr>
          <w:rFonts w:cstheme="minorHAnsi"/>
          <w:sz w:val="24"/>
          <w:szCs w:val="24"/>
        </w:rPr>
        <w:t xml:space="preserve">For </w:t>
      </w:r>
      <w:r>
        <w:rPr>
          <w:rFonts w:cstheme="minorHAnsi"/>
          <w:sz w:val="24"/>
          <w:szCs w:val="24"/>
        </w:rPr>
        <w:t>more</w:t>
      </w:r>
      <w:r w:rsidRPr="001C33FE">
        <w:rPr>
          <w:rFonts w:cstheme="minorHAnsi"/>
          <w:sz w:val="24"/>
          <w:szCs w:val="24"/>
        </w:rPr>
        <w:t xml:space="preserve"> information, please contact KSDE staff at </w:t>
      </w:r>
      <w:hyperlink r:id="rId10" w:history="1">
        <w:r w:rsidRPr="001C33FE">
          <w:rPr>
            <w:rStyle w:val="Hyperlink"/>
            <w:rFonts w:cstheme="minorHAnsi"/>
            <w:sz w:val="24"/>
            <w:szCs w:val="24"/>
          </w:rPr>
          <w:t>ESSER@KSDE.ORG</w:t>
        </w:r>
      </w:hyperlink>
      <w:r>
        <w:rPr>
          <w:rFonts w:cstheme="minorHAnsi"/>
          <w:sz w:val="24"/>
          <w:szCs w:val="24"/>
        </w:rPr>
        <w:t>.</w:t>
      </w:r>
    </w:p>
    <w:p w14:paraId="7AC8D96B" w14:textId="77777777" w:rsidR="00382BFC" w:rsidRDefault="00382BFC" w:rsidP="008F167D">
      <w:pPr>
        <w:rPr>
          <w:rFonts w:cstheme="minorHAnsi"/>
          <w:color w:val="000000"/>
          <w:sz w:val="24"/>
          <w:szCs w:val="24"/>
          <w:u w:val="single"/>
        </w:rPr>
      </w:pPr>
    </w:p>
    <w:p w14:paraId="52B8667C" w14:textId="77777777" w:rsidR="006B36A8" w:rsidRDefault="006B36A8" w:rsidP="008F167D">
      <w:pPr>
        <w:rPr>
          <w:rFonts w:cstheme="minorHAnsi"/>
          <w:b/>
          <w:color w:val="000000"/>
          <w:sz w:val="24"/>
          <w:szCs w:val="24"/>
          <w:u w:val="single"/>
        </w:rPr>
      </w:pPr>
    </w:p>
    <w:p w14:paraId="0649D77C" w14:textId="555FAE8E" w:rsidR="00382BFC" w:rsidRPr="005811EC" w:rsidRDefault="00382BFC" w:rsidP="008F167D">
      <w:pPr>
        <w:rPr>
          <w:rFonts w:cstheme="minorHAnsi"/>
          <w:b/>
          <w:color w:val="000000"/>
          <w:sz w:val="24"/>
          <w:szCs w:val="24"/>
        </w:rPr>
      </w:pPr>
      <w:r w:rsidRPr="005811EC">
        <w:rPr>
          <w:rFonts w:cstheme="minorHAnsi"/>
          <w:b/>
          <w:color w:val="000000"/>
          <w:sz w:val="24"/>
          <w:szCs w:val="24"/>
          <w:u w:val="single"/>
        </w:rPr>
        <w:t>Applicable Definitions</w:t>
      </w:r>
      <w:r w:rsidRPr="005811EC">
        <w:rPr>
          <w:rFonts w:cstheme="minorHAnsi"/>
          <w:b/>
          <w:color w:val="000000"/>
          <w:sz w:val="24"/>
          <w:szCs w:val="24"/>
        </w:rPr>
        <w:t xml:space="preserve"> </w:t>
      </w:r>
    </w:p>
    <w:p w14:paraId="59DC5C07" w14:textId="77777777" w:rsidR="00382BFC" w:rsidRPr="007E0233" w:rsidRDefault="00382BFC" w:rsidP="008F167D">
      <w:pPr>
        <w:rPr>
          <w:rFonts w:cstheme="minorHAnsi"/>
          <w:color w:val="000000"/>
          <w:sz w:val="24"/>
          <w:szCs w:val="24"/>
        </w:rPr>
      </w:pPr>
      <w:r w:rsidRPr="007E0233">
        <w:rPr>
          <w:rFonts w:cstheme="minorHAnsi"/>
          <w:color w:val="000000"/>
          <w:sz w:val="24"/>
          <w:szCs w:val="24"/>
        </w:rPr>
        <w:t>The following definitions apply to construction, equipment, and capital expenditures:</w:t>
      </w:r>
    </w:p>
    <w:p w14:paraId="75C36A48" w14:textId="77777777" w:rsidR="00382BFC" w:rsidRPr="007E0233" w:rsidRDefault="00382BFC" w:rsidP="00382BFC">
      <w:pPr>
        <w:pStyle w:val="ListParagraph"/>
        <w:numPr>
          <w:ilvl w:val="0"/>
          <w:numId w:val="4"/>
        </w:numPr>
        <w:rPr>
          <w:rFonts w:cstheme="minorHAnsi"/>
          <w:color w:val="000000"/>
          <w:sz w:val="24"/>
          <w:szCs w:val="24"/>
        </w:rPr>
      </w:pPr>
      <w:r w:rsidRPr="007E0233">
        <w:rPr>
          <w:rFonts w:cstheme="minorHAnsi"/>
          <w:i/>
          <w:iCs/>
          <w:color w:val="000000"/>
          <w:sz w:val="24"/>
          <w:szCs w:val="24"/>
          <w:shd w:val="clear" w:color="auto" w:fill="FFFFFF"/>
        </w:rPr>
        <w:t>Acquisition cost</w:t>
      </w:r>
      <w:r w:rsidRPr="007E0233">
        <w:rPr>
          <w:rFonts w:cstheme="minorHAnsi"/>
          <w:color w:val="000000"/>
          <w:sz w:val="24"/>
          <w:szCs w:val="24"/>
          <w:shd w:val="clear" w:color="auto" w:fill="FFFFFF"/>
        </w:rPr>
        <w:t xml:space="preserve"> means the cost of the asset including the cost to ready the asset for its intended use. Acquisition cost for equipment, for example, means the net invoice price of the equipment, including the cost of any modifications, attachments, accessories, or auxiliary apparatus necessary to make it usable for the purpose for which it is acquired. Acquisition costs for software includes those development costs capitalized in accordance with generally accepted accounting principles (GAAP). Ancillary charges, such as taxes, duty, protective in transit insurance, freight, and installation may be included in or excluded from the acquisition cost in accordance with the non-Federal entity's regular accounting practices (2 CFR </w:t>
      </w:r>
      <w:r w:rsidRPr="007E0233">
        <w:rPr>
          <w:rFonts w:cstheme="minorHAnsi"/>
          <w:color w:val="000000"/>
          <w:sz w:val="24"/>
          <w:szCs w:val="24"/>
        </w:rPr>
        <w:t xml:space="preserve">§ </w:t>
      </w:r>
      <w:r w:rsidRPr="007E0233">
        <w:rPr>
          <w:rFonts w:cstheme="minorHAnsi"/>
          <w:color w:val="000000"/>
          <w:sz w:val="24"/>
          <w:szCs w:val="24"/>
          <w:shd w:val="clear" w:color="auto" w:fill="FFFFFF"/>
        </w:rPr>
        <w:t>200.1).</w:t>
      </w:r>
    </w:p>
    <w:p w14:paraId="64D14204" w14:textId="60660167" w:rsidR="00382BFC" w:rsidRPr="007E0233" w:rsidRDefault="00382BFC" w:rsidP="00382BFC">
      <w:pPr>
        <w:pStyle w:val="NormalWeb"/>
        <w:numPr>
          <w:ilvl w:val="0"/>
          <w:numId w:val="4"/>
        </w:numPr>
        <w:shd w:val="clear" w:color="auto" w:fill="FFFFFF"/>
        <w:rPr>
          <w:rFonts w:asciiTheme="minorHAnsi" w:hAnsiTheme="minorHAnsi" w:cstheme="minorHAnsi"/>
          <w:color w:val="000000"/>
        </w:rPr>
      </w:pPr>
      <w:r w:rsidRPr="007E0233">
        <w:rPr>
          <w:rFonts w:asciiTheme="minorHAnsi" w:hAnsiTheme="minorHAnsi" w:cstheme="minorHAnsi"/>
          <w:i/>
          <w:iCs/>
          <w:color w:val="000000"/>
        </w:rPr>
        <w:t>Capital assets</w:t>
      </w:r>
      <w:r w:rsidRPr="007E0233">
        <w:rPr>
          <w:rFonts w:asciiTheme="minorHAnsi" w:hAnsiTheme="minorHAnsi" w:cstheme="minorHAnsi"/>
          <w:color w:val="000000"/>
        </w:rPr>
        <w:t> means:</w:t>
      </w:r>
    </w:p>
    <w:p w14:paraId="4ADE8904" w14:textId="77777777" w:rsidR="00382BFC" w:rsidRPr="007E0233" w:rsidRDefault="00382BFC" w:rsidP="00382BFC">
      <w:pPr>
        <w:pStyle w:val="NormalWeb"/>
        <w:numPr>
          <w:ilvl w:val="1"/>
          <w:numId w:val="4"/>
        </w:numPr>
        <w:shd w:val="clear" w:color="auto" w:fill="FFFFFF"/>
        <w:rPr>
          <w:rFonts w:asciiTheme="minorHAnsi" w:hAnsiTheme="minorHAnsi" w:cstheme="minorHAnsi"/>
          <w:color w:val="000000"/>
        </w:rPr>
      </w:pPr>
      <w:r w:rsidRPr="007E0233">
        <w:rPr>
          <w:rFonts w:asciiTheme="minorHAnsi" w:hAnsiTheme="minorHAnsi" w:cstheme="minorHAnsi"/>
          <w:color w:val="000000"/>
        </w:rPr>
        <w:t>(1) Tangible or intangible assets used in operations having a useful life of more than one year which are capitalized in accordance with GAAP. Capital assets include:</w:t>
      </w:r>
    </w:p>
    <w:p w14:paraId="563B3811" w14:textId="77777777" w:rsidR="00382BFC" w:rsidRPr="007E0233" w:rsidRDefault="00382BFC" w:rsidP="00382BFC">
      <w:pPr>
        <w:pStyle w:val="NormalWeb"/>
        <w:numPr>
          <w:ilvl w:val="2"/>
          <w:numId w:val="4"/>
        </w:numPr>
        <w:shd w:val="clear" w:color="auto" w:fill="FFFFFF"/>
        <w:rPr>
          <w:rFonts w:asciiTheme="minorHAnsi" w:hAnsiTheme="minorHAnsi" w:cstheme="minorHAnsi"/>
          <w:color w:val="000000"/>
        </w:rPr>
      </w:pPr>
      <w:r w:rsidRPr="007E0233">
        <w:rPr>
          <w:rFonts w:asciiTheme="minorHAnsi" w:hAnsiTheme="minorHAnsi" w:cstheme="minorHAnsi"/>
          <w:color w:val="000000"/>
        </w:rPr>
        <w:t>(i) Land, buildings (facilities), equipment, and intellectual property (including software) whether acquired by purchase, construction, manufacture, exchange, or through a lease accounted for as financed purchase under Government Accounting Standards Board (GASB) standards or a finance lease under Financial Accounting Standards Board (FASB) standards; and</w:t>
      </w:r>
    </w:p>
    <w:p w14:paraId="38E2C74F" w14:textId="77777777" w:rsidR="00382BFC" w:rsidRPr="007E0233" w:rsidRDefault="00382BFC" w:rsidP="00382BFC">
      <w:pPr>
        <w:pStyle w:val="NormalWeb"/>
        <w:numPr>
          <w:ilvl w:val="2"/>
          <w:numId w:val="4"/>
        </w:numPr>
        <w:shd w:val="clear" w:color="auto" w:fill="FFFFFF"/>
        <w:rPr>
          <w:rFonts w:asciiTheme="minorHAnsi" w:hAnsiTheme="minorHAnsi" w:cstheme="minorHAnsi"/>
          <w:color w:val="000000"/>
        </w:rPr>
      </w:pPr>
      <w:r w:rsidRPr="007E0233">
        <w:rPr>
          <w:rFonts w:asciiTheme="minorHAnsi" w:hAnsiTheme="minorHAnsi" w:cstheme="minorHAnsi"/>
          <w:color w:val="000000"/>
        </w:rPr>
        <w:t>(ii) Additions, improvements, modifications, replacements, rearrangements, reinstallations, renovations or alterations to capital assets that materially increase their value or useful life (not ordinary repairs and maintenance).</w:t>
      </w:r>
    </w:p>
    <w:p w14:paraId="6F04E116" w14:textId="77777777" w:rsidR="00382BFC" w:rsidRPr="007E0233" w:rsidRDefault="00382BFC" w:rsidP="00382BFC">
      <w:pPr>
        <w:pStyle w:val="NormalWeb"/>
        <w:numPr>
          <w:ilvl w:val="1"/>
          <w:numId w:val="4"/>
        </w:numPr>
        <w:shd w:val="clear" w:color="auto" w:fill="FFFFFF"/>
        <w:rPr>
          <w:rFonts w:asciiTheme="minorHAnsi" w:hAnsiTheme="minorHAnsi" w:cstheme="minorHAnsi"/>
          <w:color w:val="000000"/>
        </w:rPr>
      </w:pPr>
      <w:r w:rsidRPr="007E0233">
        <w:rPr>
          <w:rFonts w:asciiTheme="minorHAnsi" w:hAnsiTheme="minorHAnsi" w:cstheme="minorHAnsi"/>
          <w:color w:val="000000"/>
        </w:rPr>
        <w:t xml:space="preserve">(2) For purpose of this part, capital assets do not include intangible right-to-use assets (per GASB) and right-to-use operating lease assets (per FASB). For example, assets capitalized that recognize a lessee's right to control the use of property and/or equipment for a period of time under a lease contract. See also </w:t>
      </w:r>
      <w:r w:rsidRPr="00FC0E18">
        <w:rPr>
          <w:rFonts w:asciiTheme="minorHAnsi" w:hAnsiTheme="minorHAnsi" w:cstheme="minorHAnsi"/>
          <w:i/>
          <w:iCs/>
          <w:color w:val="000000"/>
        </w:rPr>
        <w:t>Rental costs of real property and equipment</w:t>
      </w:r>
      <w:r>
        <w:rPr>
          <w:rFonts w:asciiTheme="minorHAnsi" w:hAnsiTheme="minorHAnsi" w:cstheme="minorHAnsi"/>
          <w:color w:val="000000"/>
        </w:rPr>
        <w:t xml:space="preserve"> at 2 CFR </w:t>
      </w:r>
      <w:r w:rsidRPr="007E0233">
        <w:rPr>
          <w:rFonts w:asciiTheme="minorHAnsi" w:hAnsiTheme="minorHAnsi" w:cstheme="minorHAnsi"/>
          <w:color w:val="000000"/>
        </w:rPr>
        <w:t>§</w:t>
      </w:r>
      <w:r>
        <w:rPr>
          <w:rFonts w:asciiTheme="minorHAnsi" w:hAnsiTheme="minorHAnsi" w:cstheme="minorHAnsi"/>
          <w:color w:val="000000"/>
        </w:rPr>
        <w:t xml:space="preserve"> </w:t>
      </w:r>
      <w:r w:rsidRPr="007E0233">
        <w:rPr>
          <w:rFonts w:asciiTheme="minorHAnsi" w:hAnsiTheme="minorHAnsi" w:cstheme="minorHAnsi"/>
          <w:color w:val="000000"/>
        </w:rPr>
        <w:t xml:space="preserve">200.465 </w:t>
      </w:r>
      <w:r w:rsidRPr="007E0233">
        <w:rPr>
          <w:rFonts w:asciiTheme="minorHAnsi" w:hAnsiTheme="minorHAnsi" w:cstheme="minorHAnsi"/>
          <w:color w:val="000000"/>
          <w:shd w:val="clear" w:color="auto" w:fill="FFFFFF"/>
        </w:rPr>
        <w:t xml:space="preserve">(2 CFR </w:t>
      </w:r>
      <w:r w:rsidRPr="007E0233">
        <w:rPr>
          <w:rFonts w:asciiTheme="minorHAnsi" w:hAnsiTheme="minorHAnsi" w:cstheme="minorHAnsi"/>
          <w:color w:val="000000"/>
        </w:rPr>
        <w:t xml:space="preserve">§ </w:t>
      </w:r>
      <w:r w:rsidRPr="007E0233">
        <w:rPr>
          <w:rFonts w:asciiTheme="minorHAnsi" w:hAnsiTheme="minorHAnsi" w:cstheme="minorHAnsi"/>
          <w:color w:val="000000"/>
          <w:shd w:val="clear" w:color="auto" w:fill="FFFFFF"/>
        </w:rPr>
        <w:t>200.1).</w:t>
      </w:r>
      <w:r w:rsidRPr="007E0233">
        <w:rPr>
          <w:rFonts w:asciiTheme="minorHAnsi" w:hAnsiTheme="minorHAnsi" w:cstheme="minorHAnsi"/>
          <w:color w:val="000000"/>
          <w:shd w:val="clear" w:color="auto" w:fill="FFFFFF"/>
        </w:rPr>
        <w:br/>
      </w:r>
    </w:p>
    <w:p w14:paraId="293BFC75" w14:textId="77777777" w:rsidR="00382BFC" w:rsidRPr="007E0233" w:rsidRDefault="00382BFC" w:rsidP="00382BFC">
      <w:pPr>
        <w:pStyle w:val="ListParagraph"/>
        <w:numPr>
          <w:ilvl w:val="0"/>
          <w:numId w:val="4"/>
        </w:numPr>
        <w:rPr>
          <w:rFonts w:cstheme="minorHAnsi"/>
          <w:color w:val="000000"/>
          <w:sz w:val="24"/>
          <w:szCs w:val="24"/>
        </w:rPr>
      </w:pPr>
      <w:r w:rsidRPr="007E0233">
        <w:rPr>
          <w:rFonts w:cstheme="minorHAnsi"/>
          <w:i/>
          <w:iCs/>
          <w:color w:val="000000"/>
          <w:sz w:val="24"/>
          <w:szCs w:val="24"/>
          <w:shd w:val="clear" w:color="auto" w:fill="FFFFFF"/>
        </w:rPr>
        <w:t>Capital expenditures</w:t>
      </w:r>
      <w:r w:rsidRPr="007E0233">
        <w:rPr>
          <w:rFonts w:cstheme="minorHAnsi"/>
          <w:color w:val="000000"/>
          <w:sz w:val="24"/>
          <w:szCs w:val="24"/>
          <w:shd w:val="clear" w:color="auto" w:fill="FFFFFF"/>
        </w:rPr>
        <w:t xml:space="preserve"> means expenditures to acquire capital assets or expenditures to make additions, improvements, modifications, replacements, rearrangements, reinstallations, renovations, or alterations to capital assets that materially increase their value or useful life (2 CFR </w:t>
      </w:r>
      <w:r w:rsidRPr="007E0233">
        <w:rPr>
          <w:rFonts w:cstheme="minorHAnsi"/>
          <w:color w:val="000000"/>
          <w:sz w:val="24"/>
          <w:szCs w:val="24"/>
        </w:rPr>
        <w:t xml:space="preserve">§ </w:t>
      </w:r>
      <w:r w:rsidRPr="007E0233">
        <w:rPr>
          <w:rFonts w:cstheme="minorHAnsi"/>
          <w:color w:val="000000"/>
          <w:sz w:val="24"/>
          <w:szCs w:val="24"/>
          <w:shd w:val="clear" w:color="auto" w:fill="FFFFFF"/>
        </w:rPr>
        <w:t>200.1).</w:t>
      </w:r>
    </w:p>
    <w:p w14:paraId="7D50EAE5" w14:textId="77777777" w:rsidR="00382BFC" w:rsidRPr="007E0233" w:rsidRDefault="00382BFC" w:rsidP="008F167D">
      <w:pPr>
        <w:pStyle w:val="ListParagraph"/>
        <w:rPr>
          <w:rFonts w:cstheme="minorHAnsi"/>
          <w:color w:val="000000"/>
          <w:sz w:val="24"/>
          <w:szCs w:val="24"/>
        </w:rPr>
      </w:pPr>
    </w:p>
    <w:p w14:paraId="24503D97" w14:textId="77777777" w:rsidR="00382BFC" w:rsidRPr="007E0233" w:rsidRDefault="00382BFC" w:rsidP="00382BFC">
      <w:pPr>
        <w:pStyle w:val="ListParagraph"/>
        <w:numPr>
          <w:ilvl w:val="0"/>
          <w:numId w:val="4"/>
        </w:numPr>
        <w:rPr>
          <w:rFonts w:cstheme="minorHAnsi"/>
          <w:color w:val="000000"/>
          <w:sz w:val="24"/>
          <w:szCs w:val="24"/>
        </w:rPr>
      </w:pPr>
      <w:r w:rsidRPr="007E0233">
        <w:rPr>
          <w:rFonts w:cstheme="minorHAnsi"/>
          <w:i/>
          <w:iCs/>
          <w:color w:val="000000"/>
          <w:sz w:val="24"/>
          <w:szCs w:val="24"/>
          <w:shd w:val="clear" w:color="auto" w:fill="FFFFFF"/>
        </w:rPr>
        <w:t>Equipment</w:t>
      </w:r>
      <w:r w:rsidRPr="007E0233">
        <w:rPr>
          <w:rFonts w:cstheme="minorHAnsi"/>
          <w:color w:val="000000"/>
          <w:sz w:val="24"/>
          <w:szCs w:val="24"/>
          <w:shd w:val="clear" w:color="auto" w:fill="FFFFFF"/>
        </w:rPr>
        <w:t xml:space="preserve">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(2 CFR </w:t>
      </w:r>
      <w:r w:rsidRPr="007E0233">
        <w:rPr>
          <w:rFonts w:cstheme="minorHAnsi"/>
          <w:color w:val="000000"/>
          <w:sz w:val="24"/>
          <w:szCs w:val="24"/>
        </w:rPr>
        <w:t xml:space="preserve">§ </w:t>
      </w:r>
      <w:r w:rsidRPr="007E0233">
        <w:rPr>
          <w:rFonts w:cstheme="minorHAnsi"/>
          <w:color w:val="000000"/>
          <w:sz w:val="24"/>
          <w:szCs w:val="24"/>
          <w:shd w:val="clear" w:color="auto" w:fill="FFFFFF"/>
        </w:rPr>
        <w:t xml:space="preserve">200.1; 34 CFR </w:t>
      </w:r>
      <w:r w:rsidRPr="007E0233">
        <w:rPr>
          <w:rFonts w:cstheme="minorHAnsi"/>
          <w:color w:val="000000"/>
          <w:sz w:val="24"/>
          <w:szCs w:val="24"/>
        </w:rPr>
        <w:t xml:space="preserve">§ </w:t>
      </w:r>
      <w:r w:rsidRPr="007E0233">
        <w:rPr>
          <w:rFonts w:cstheme="minorHAnsi"/>
          <w:color w:val="000000"/>
          <w:sz w:val="24"/>
          <w:szCs w:val="24"/>
          <w:shd w:val="clear" w:color="auto" w:fill="FFFFFF"/>
        </w:rPr>
        <w:t>77.1).</w:t>
      </w:r>
    </w:p>
    <w:p w14:paraId="3557A100" w14:textId="77777777" w:rsidR="00382BFC" w:rsidRPr="007E0233" w:rsidRDefault="00382BFC" w:rsidP="008F167D">
      <w:pPr>
        <w:pStyle w:val="ListParagraph"/>
        <w:rPr>
          <w:rFonts w:cstheme="minorHAnsi"/>
          <w:color w:val="000000"/>
          <w:sz w:val="24"/>
          <w:szCs w:val="24"/>
        </w:rPr>
      </w:pPr>
    </w:p>
    <w:p w14:paraId="7DC839FD" w14:textId="77777777" w:rsidR="00382BFC" w:rsidRPr="007E0233" w:rsidRDefault="00382BFC" w:rsidP="00382BFC">
      <w:pPr>
        <w:pStyle w:val="ListParagraph"/>
        <w:numPr>
          <w:ilvl w:val="0"/>
          <w:numId w:val="4"/>
        </w:numPr>
        <w:rPr>
          <w:rFonts w:cstheme="minorHAnsi"/>
          <w:color w:val="000000"/>
          <w:sz w:val="24"/>
          <w:szCs w:val="24"/>
        </w:rPr>
      </w:pPr>
      <w:r w:rsidRPr="007E0233">
        <w:rPr>
          <w:rFonts w:cstheme="minorHAnsi"/>
          <w:i/>
          <w:iCs/>
          <w:color w:val="000000"/>
          <w:sz w:val="24"/>
          <w:szCs w:val="24"/>
          <w:shd w:val="clear" w:color="auto" w:fill="FFFFFF"/>
        </w:rPr>
        <w:t>Facilities</w:t>
      </w:r>
      <w:r w:rsidRPr="007E0233">
        <w:rPr>
          <w:rFonts w:cstheme="minorHAnsi"/>
          <w:color w:val="000000"/>
          <w:sz w:val="24"/>
          <w:szCs w:val="24"/>
          <w:shd w:val="clear" w:color="auto" w:fill="FFFFFF"/>
        </w:rPr>
        <w:t xml:space="preserve"> means one or more structures in one or more locations (34 CFR </w:t>
      </w:r>
      <w:r w:rsidRPr="007E0233">
        <w:rPr>
          <w:rFonts w:cstheme="minorHAnsi"/>
          <w:color w:val="000000"/>
          <w:sz w:val="24"/>
          <w:szCs w:val="24"/>
        </w:rPr>
        <w:t xml:space="preserve">§ </w:t>
      </w:r>
      <w:r w:rsidRPr="007E0233">
        <w:rPr>
          <w:rFonts w:cstheme="minorHAnsi"/>
          <w:color w:val="000000"/>
          <w:sz w:val="24"/>
          <w:szCs w:val="24"/>
          <w:shd w:val="clear" w:color="auto" w:fill="FFFFFF"/>
        </w:rPr>
        <w:t>77.1).</w:t>
      </w:r>
    </w:p>
    <w:p w14:paraId="05659992" w14:textId="77777777" w:rsidR="00382BFC" w:rsidRPr="007E0233" w:rsidRDefault="00382BFC" w:rsidP="008F167D">
      <w:pPr>
        <w:pStyle w:val="ListParagraph"/>
        <w:rPr>
          <w:rFonts w:cstheme="minorHAnsi"/>
          <w:i/>
          <w:iCs/>
          <w:color w:val="000000"/>
          <w:sz w:val="24"/>
          <w:szCs w:val="24"/>
          <w:shd w:val="clear" w:color="auto" w:fill="FFFFFF"/>
        </w:rPr>
      </w:pPr>
    </w:p>
    <w:p w14:paraId="5D8F6351" w14:textId="77777777" w:rsidR="002E00FB" w:rsidRPr="002E00FB" w:rsidRDefault="002E00FB" w:rsidP="002E00FB">
      <w:pPr>
        <w:pStyle w:val="ListParagraph"/>
        <w:rPr>
          <w:rFonts w:cstheme="minorHAnsi"/>
          <w:color w:val="000000"/>
          <w:sz w:val="24"/>
          <w:szCs w:val="24"/>
        </w:rPr>
      </w:pPr>
    </w:p>
    <w:p w14:paraId="25C136DB" w14:textId="17A37DE0" w:rsidR="00382BFC" w:rsidRPr="007E0233" w:rsidRDefault="00382BFC" w:rsidP="00382BFC">
      <w:pPr>
        <w:pStyle w:val="ListParagraph"/>
        <w:numPr>
          <w:ilvl w:val="0"/>
          <w:numId w:val="4"/>
        </w:numPr>
        <w:rPr>
          <w:rFonts w:cstheme="minorHAnsi"/>
          <w:color w:val="000000"/>
          <w:sz w:val="24"/>
          <w:szCs w:val="24"/>
        </w:rPr>
      </w:pPr>
      <w:r w:rsidRPr="007E0233">
        <w:rPr>
          <w:rFonts w:cstheme="minorHAnsi"/>
          <w:i/>
          <w:iCs/>
          <w:color w:val="000000"/>
          <w:sz w:val="24"/>
          <w:szCs w:val="24"/>
          <w:shd w:val="clear" w:color="auto" w:fill="FFFFFF"/>
        </w:rPr>
        <w:t>General purpose equipment</w:t>
      </w:r>
      <w:r w:rsidRPr="007E0233">
        <w:rPr>
          <w:rFonts w:cstheme="minorHAnsi"/>
          <w:color w:val="000000"/>
          <w:sz w:val="24"/>
          <w:szCs w:val="24"/>
          <w:shd w:val="clear" w:color="auto" w:fill="FFFFFF"/>
        </w:rPr>
        <w:t xml:space="preserve"> means equipment which is not limited to research, medical, scientific or other technical activities. Examples include office equipment and furnishings, modular offices, telephone networks, information technology equipment and systems, air conditioning equipment, reproduction and printing equipment, and motor vehicles (2 CFR </w:t>
      </w:r>
      <w:r w:rsidRPr="007E0233">
        <w:rPr>
          <w:rFonts w:cstheme="minorHAnsi"/>
          <w:color w:val="000000"/>
          <w:sz w:val="24"/>
          <w:szCs w:val="24"/>
        </w:rPr>
        <w:t xml:space="preserve">§ </w:t>
      </w:r>
      <w:r w:rsidRPr="007E0233">
        <w:rPr>
          <w:rFonts w:cstheme="minorHAnsi"/>
          <w:color w:val="000000"/>
          <w:sz w:val="24"/>
          <w:szCs w:val="24"/>
          <w:shd w:val="clear" w:color="auto" w:fill="FFFFFF"/>
        </w:rPr>
        <w:t>200.1).</w:t>
      </w:r>
    </w:p>
    <w:p w14:paraId="0062279C" w14:textId="77777777" w:rsidR="00382BFC" w:rsidRPr="007E0233" w:rsidRDefault="00382BFC" w:rsidP="008F167D">
      <w:pPr>
        <w:pStyle w:val="ListParagraph"/>
        <w:rPr>
          <w:rFonts w:cstheme="minorHAnsi"/>
          <w:color w:val="000000"/>
          <w:sz w:val="24"/>
          <w:szCs w:val="24"/>
        </w:rPr>
      </w:pPr>
    </w:p>
    <w:p w14:paraId="50963A0D" w14:textId="77777777" w:rsidR="00382BFC" w:rsidRPr="007E0233" w:rsidRDefault="00382BFC" w:rsidP="00382BFC">
      <w:pPr>
        <w:pStyle w:val="ListParagraph"/>
        <w:numPr>
          <w:ilvl w:val="0"/>
          <w:numId w:val="4"/>
        </w:numPr>
        <w:rPr>
          <w:rFonts w:cstheme="minorHAnsi"/>
          <w:color w:val="000000"/>
          <w:sz w:val="24"/>
          <w:szCs w:val="24"/>
        </w:rPr>
      </w:pPr>
      <w:r w:rsidRPr="007E0233">
        <w:rPr>
          <w:rFonts w:cstheme="minorHAnsi"/>
          <w:i/>
          <w:iCs/>
          <w:color w:val="000000"/>
          <w:sz w:val="24"/>
          <w:szCs w:val="24"/>
          <w:shd w:val="clear" w:color="auto" w:fill="FFFFFF"/>
        </w:rPr>
        <w:t>Minor remodeling</w:t>
      </w:r>
      <w:r w:rsidRPr="007E0233">
        <w:rPr>
          <w:rFonts w:cstheme="minorHAnsi"/>
          <w:color w:val="000000"/>
          <w:sz w:val="24"/>
          <w:szCs w:val="24"/>
          <w:shd w:val="clear" w:color="auto" w:fill="FFFFFF"/>
        </w:rPr>
        <w:t xml:space="preserve"> means minor alterations in a previously completed building. The term also includes the extension of utility lines, such as water and electricity, from points beyond the confines of the space in which the minor remodeling is undertaken but within the confines of the previously completed building. The term does not include building construction, structural alterations to buildings, building maintenance, or repairs (34 CFR </w:t>
      </w:r>
      <w:r w:rsidRPr="007E0233">
        <w:rPr>
          <w:rFonts w:cstheme="minorHAnsi"/>
          <w:color w:val="000000"/>
          <w:sz w:val="24"/>
          <w:szCs w:val="24"/>
        </w:rPr>
        <w:t xml:space="preserve">§ </w:t>
      </w:r>
      <w:r w:rsidRPr="007E0233">
        <w:rPr>
          <w:rFonts w:cstheme="minorHAnsi"/>
          <w:color w:val="000000"/>
          <w:sz w:val="24"/>
          <w:szCs w:val="24"/>
          <w:shd w:val="clear" w:color="auto" w:fill="FFFFFF"/>
        </w:rPr>
        <w:t>77.1).</w:t>
      </w:r>
    </w:p>
    <w:p w14:paraId="70B13019" w14:textId="77777777" w:rsidR="00941E4C" w:rsidRPr="00941E4C" w:rsidRDefault="00941E4C" w:rsidP="00941E4C">
      <w:pPr>
        <w:pStyle w:val="ListParagraph"/>
        <w:rPr>
          <w:rFonts w:cstheme="minorHAnsi"/>
          <w:color w:val="000000"/>
          <w:sz w:val="24"/>
          <w:szCs w:val="24"/>
        </w:rPr>
      </w:pPr>
    </w:p>
    <w:p w14:paraId="22D8903B" w14:textId="42180E7E" w:rsidR="00134523" w:rsidRPr="006B36A8" w:rsidRDefault="00382BFC" w:rsidP="00134523">
      <w:pPr>
        <w:pStyle w:val="ListParagraph"/>
        <w:numPr>
          <w:ilvl w:val="0"/>
          <w:numId w:val="4"/>
        </w:numPr>
        <w:rPr>
          <w:rFonts w:cstheme="minorHAnsi"/>
          <w:color w:val="000000"/>
          <w:sz w:val="24"/>
          <w:szCs w:val="24"/>
        </w:rPr>
      </w:pPr>
      <w:r w:rsidRPr="007E0233">
        <w:rPr>
          <w:rFonts w:cstheme="minorHAnsi"/>
          <w:i/>
          <w:iCs/>
          <w:color w:val="000000"/>
          <w:sz w:val="24"/>
          <w:szCs w:val="24"/>
          <w:shd w:val="clear" w:color="auto" w:fill="FFFFFF"/>
        </w:rPr>
        <w:t>Special purpose equipment</w:t>
      </w:r>
      <w:r w:rsidRPr="007E0233">
        <w:rPr>
          <w:rFonts w:cstheme="minorHAnsi"/>
          <w:color w:val="000000"/>
          <w:sz w:val="24"/>
          <w:szCs w:val="24"/>
          <w:shd w:val="clear" w:color="auto" w:fill="FFFFFF"/>
        </w:rPr>
        <w:t xml:space="preserve"> means equipment which is used only for research, medical, scientific, or other technical activities. Examples of special purpose equipment include microscopes, x-ray machines, surgical instruments, and spectrometers (2 CFR </w:t>
      </w:r>
      <w:r w:rsidRPr="007E0233">
        <w:rPr>
          <w:rFonts w:cstheme="minorHAnsi"/>
          <w:color w:val="000000"/>
          <w:sz w:val="24"/>
          <w:szCs w:val="24"/>
        </w:rPr>
        <w:t xml:space="preserve">§ </w:t>
      </w:r>
      <w:r w:rsidRPr="007E0233">
        <w:rPr>
          <w:rFonts w:cstheme="minorHAnsi"/>
          <w:color w:val="000000"/>
          <w:sz w:val="24"/>
          <w:szCs w:val="24"/>
          <w:shd w:val="clear" w:color="auto" w:fill="FFFFFF"/>
        </w:rPr>
        <w:t>200.1).</w:t>
      </w:r>
    </w:p>
    <w:p w14:paraId="594854CA" w14:textId="77777777" w:rsidR="00382BFC" w:rsidRDefault="00382BFC" w:rsidP="008F167D">
      <w:pPr>
        <w:rPr>
          <w:rFonts w:cstheme="minorHAnsi"/>
          <w:color w:val="000000"/>
          <w:sz w:val="24"/>
          <w:szCs w:val="24"/>
        </w:rPr>
      </w:pPr>
      <w:r>
        <w:rPr>
          <w:rFonts w:cstheme="minorHAnsi"/>
          <w:color w:val="000000"/>
          <w:sz w:val="24"/>
          <w:szCs w:val="24"/>
        </w:rPr>
        <w:br w:type="page"/>
      </w:r>
    </w:p>
    <w:p w14:paraId="72A6A77A" w14:textId="77777777" w:rsidR="007049BD" w:rsidRDefault="007049BD" w:rsidP="008F167D">
      <w:pPr>
        <w:jc w:val="center"/>
        <w:rPr>
          <w:b/>
          <w:bCs/>
          <w:sz w:val="28"/>
          <w:szCs w:val="28"/>
          <w:u w:val="single"/>
        </w:rPr>
      </w:pPr>
    </w:p>
    <w:p w14:paraId="46E99EBA" w14:textId="1DD0E9D1" w:rsidR="00382BFC" w:rsidRPr="008C6AB0" w:rsidRDefault="00382BFC" w:rsidP="008F167D">
      <w:pPr>
        <w:jc w:val="center"/>
        <w:rPr>
          <w:rFonts w:cstheme="minorHAnsi"/>
          <w:color w:val="000000"/>
          <w:sz w:val="24"/>
          <w:szCs w:val="24"/>
        </w:rPr>
      </w:pPr>
      <w:r>
        <w:rPr>
          <w:b/>
          <w:bCs/>
          <w:sz w:val="28"/>
          <w:szCs w:val="28"/>
          <w:u w:val="single"/>
        </w:rPr>
        <w:t>CONTACT AND PROJECT DETAILS</w:t>
      </w:r>
    </w:p>
    <w:p w14:paraId="0B7B1B24" w14:textId="77777777" w:rsidR="00382BFC" w:rsidRDefault="00382BFC" w:rsidP="008F167D">
      <w:pPr>
        <w:rPr>
          <w:rFonts w:cstheme="minorHAnsi"/>
          <w:color w:val="000000"/>
          <w:sz w:val="24"/>
          <w:szCs w:val="24"/>
        </w:rPr>
      </w:pPr>
    </w:p>
    <w:tbl>
      <w:tblPr>
        <w:tblStyle w:val="TableGrid"/>
        <w:tblW w:w="0" w:type="auto"/>
        <w:tblLook w:val="04A0" w:firstRow="1" w:lastRow="0" w:firstColumn="1" w:lastColumn="0" w:noHBand="0" w:noVBand="1"/>
      </w:tblPr>
      <w:tblGrid>
        <w:gridCol w:w="5395"/>
        <w:gridCol w:w="5395"/>
      </w:tblGrid>
      <w:tr w:rsidR="00EE398C" w:rsidRPr="00EE398C" w14:paraId="6274A005" w14:textId="77777777" w:rsidTr="00EE398C">
        <w:trPr>
          <w:trHeight w:val="720"/>
        </w:trPr>
        <w:tc>
          <w:tcPr>
            <w:tcW w:w="5395" w:type="dxa"/>
          </w:tcPr>
          <w:p w14:paraId="7A29D278" w14:textId="77777777" w:rsidR="00EE398C" w:rsidRDefault="00EE398C" w:rsidP="00B6338D">
            <w:pPr>
              <w:rPr>
                <w:rFonts w:cstheme="minorHAnsi"/>
                <w:b/>
                <w:color w:val="000000"/>
                <w:sz w:val="24"/>
                <w:szCs w:val="24"/>
              </w:rPr>
            </w:pPr>
            <w:r w:rsidRPr="00EE398C">
              <w:rPr>
                <w:rFonts w:cstheme="minorHAnsi"/>
                <w:b/>
                <w:color w:val="000000"/>
                <w:sz w:val="24"/>
                <w:szCs w:val="24"/>
              </w:rPr>
              <w:t>Date of Request:</w:t>
            </w:r>
          </w:p>
          <w:p w14:paraId="3A022C30" w14:textId="608219EF" w:rsidR="00EE398C" w:rsidRPr="00EE398C" w:rsidRDefault="00EE398C" w:rsidP="00B6338D">
            <w:pPr>
              <w:rPr>
                <w:rFonts w:cstheme="minorHAnsi"/>
                <w:b/>
                <w:color w:val="000000"/>
                <w:sz w:val="24"/>
                <w:szCs w:val="24"/>
              </w:rPr>
            </w:pPr>
          </w:p>
        </w:tc>
        <w:tc>
          <w:tcPr>
            <w:tcW w:w="5395" w:type="dxa"/>
          </w:tcPr>
          <w:p w14:paraId="67D5163E" w14:textId="77777777" w:rsidR="00EE398C" w:rsidRDefault="00EE398C" w:rsidP="00B6338D">
            <w:pPr>
              <w:rPr>
                <w:rFonts w:cstheme="minorHAnsi"/>
                <w:b/>
                <w:color w:val="000000"/>
                <w:sz w:val="24"/>
                <w:szCs w:val="24"/>
              </w:rPr>
            </w:pPr>
            <w:r w:rsidRPr="00EE398C">
              <w:rPr>
                <w:rFonts w:cstheme="minorHAnsi"/>
                <w:b/>
                <w:color w:val="000000"/>
                <w:sz w:val="24"/>
                <w:szCs w:val="24"/>
              </w:rPr>
              <w:t>USD Number:</w:t>
            </w:r>
          </w:p>
          <w:p w14:paraId="0065F500" w14:textId="4A70E384" w:rsidR="00EE398C" w:rsidRPr="00EE398C" w:rsidRDefault="00EE398C" w:rsidP="00B6338D">
            <w:pPr>
              <w:rPr>
                <w:rFonts w:cstheme="minorHAnsi"/>
                <w:b/>
                <w:color w:val="000000"/>
                <w:sz w:val="24"/>
                <w:szCs w:val="24"/>
              </w:rPr>
            </w:pPr>
          </w:p>
        </w:tc>
      </w:tr>
      <w:tr w:rsidR="00EE398C" w:rsidRPr="00EE398C" w14:paraId="65C871CC" w14:textId="77777777" w:rsidTr="00EE398C">
        <w:trPr>
          <w:trHeight w:val="720"/>
        </w:trPr>
        <w:tc>
          <w:tcPr>
            <w:tcW w:w="5395" w:type="dxa"/>
          </w:tcPr>
          <w:p w14:paraId="03FC5DFC" w14:textId="77777777" w:rsidR="00EE398C" w:rsidRDefault="00EE398C" w:rsidP="00B6338D">
            <w:pPr>
              <w:rPr>
                <w:rFonts w:cstheme="minorHAnsi"/>
                <w:b/>
                <w:color w:val="000000"/>
                <w:sz w:val="24"/>
                <w:szCs w:val="24"/>
              </w:rPr>
            </w:pPr>
            <w:r w:rsidRPr="00EE398C">
              <w:rPr>
                <w:rFonts w:cstheme="minorHAnsi"/>
                <w:b/>
                <w:color w:val="000000"/>
                <w:sz w:val="24"/>
                <w:szCs w:val="24"/>
              </w:rPr>
              <w:t>Name of District:</w:t>
            </w:r>
          </w:p>
          <w:p w14:paraId="2F2BC14D" w14:textId="317C2DF8" w:rsidR="00EE398C" w:rsidRPr="00EE398C" w:rsidRDefault="00EE398C" w:rsidP="00B6338D">
            <w:pPr>
              <w:rPr>
                <w:rFonts w:cstheme="minorHAnsi"/>
                <w:b/>
                <w:color w:val="000000"/>
                <w:sz w:val="24"/>
                <w:szCs w:val="24"/>
              </w:rPr>
            </w:pPr>
          </w:p>
        </w:tc>
        <w:tc>
          <w:tcPr>
            <w:tcW w:w="5395" w:type="dxa"/>
          </w:tcPr>
          <w:p w14:paraId="1C6E3195" w14:textId="77777777" w:rsidR="00EE398C" w:rsidRDefault="00EE398C" w:rsidP="00B6338D">
            <w:pPr>
              <w:rPr>
                <w:rFonts w:cstheme="minorHAnsi"/>
                <w:b/>
                <w:color w:val="000000"/>
                <w:sz w:val="24"/>
                <w:szCs w:val="24"/>
              </w:rPr>
            </w:pPr>
            <w:r w:rsidRPr="00EE398C">
              <w:rPr>
                <w:rFonts w:cstheme="minorHAnsi"/>
                <w:b/>
                <w:color w:val="000000"/>
                <w:sz w:val="24"/>
                <w:szCs w:val="24"/>
              </w:rPr>
              <w:t>Title of Project (</w:t>
            </w:r>
            <w:r w:rsidRPr="00EE398C">
              <w:rPr>
                <w:rFonts w:cstheme="minorHAnsi"/>
                <w:b/>
                <w:i/>
                <w:color w:val="000000"/>
                <w:sz w:val="24"/>
                <w:szCs w:val="24"/>
              </w:rPr>
              <w:t>optional)</w:t>
            </w:r>
            <w:r w:rsidRPr="00EE398C">
              <w:rPr>
                <w:rFonts w:cstheme="minorHAnsi"/>
                <w:b/>
                <w:color w:val="000000"/>
                <w:sz w:val="24"/>
                <w:szCs w:val="24"/>
              </w:rPr>
              <w:t>:</w:t>
            </w:r>
          </w:p>
          <w:p w14:paraId="3CA374E6" w14:textId="0D7A0067" w:rsidR="00EE398C" w:rsidRPr="00EE398C" w:rsidRDefault="00EE398C" w:rsidP="00B6338D">
            <w:pPr>
              <w:rPr>
                <w:rFonts w:cstheme="minorHAnsi"/>
                <w:b/>
                <w:color w:val="000000"/>
                <w:sz w:val="24"/>
                <w:szCs w:val="24"/>
              </w:rPr>
            </w:pPr>
          </w:p>
        </w:tc>
      </w:tr>
      <w:tr w:rsidR="00EE398C" w:rsidRPr="00EE398C" w14:paraId="4EBE64D7" w14:textId="77777777" w:rsidTr="00EE398C">
        <w:trPr>
          <w:trHeight w:val="720"/>
        </w:trPr>
        <w:tc>
          <w:tcPr>
            <w:tcW w:w="5395" w:type="dxa"/>
          </w:tcPr>
          <w:p w14:paraId="0DDF271C" w14:textId="77777777" w:rsidR="00EE398C" w:rsidRDefault="00EE398C" w:rsidP="00B6338D">
            <w:pPr>
              <w:rPr>
                <w:rFonts w:cstheme="minorHAnsi"/>
                <w:b/>
                <w:color w:val="000000"/>
                <w:sz w:val="24"/>
                <w:szCs w:val="24"/>
              </w:rPr>
            </w:pPr>
            <w:r w:rsidRPr="00EE398C">
              <w:rPr>
                <w:rFonts w:cstheme="minorHAnsi"/>
                <w:b/>
                <w:color w:val="000000"/>
                <w:sz w:val="24"/>
                <w:szCs w:val="24"/>
              </w:rPr>
              <w:t>Primary Contact</w:t>
            </w:r>
            <w:r>
              <w:rPr>
                <w:rFonts w:cstheme="minorHAnsi"/>
                <w:b/>
                <w:color w:val="000000"/>
                <w:sz w:val="24"/>
                <w:szCs w:val="24"/>
              </w:rPr>
              <w:t xml:space="preserve"> First</w:t>
            </w:r>
            <w:r w:rsidRPr="00EE398C">
              <w:rPr>
                <w:rFonts w:cstheme="minorHAnsi"/>
                <w:b/>
                <w:color w:val="000000"/>
                <w:sz w:val="24"/>
                <w:szCs w:val="24"/>
              </w:rPr>
              <w:t xml:space="preserve"> Name</w:t>
            </w:r>
            <w:r>
              <w:rPr>
                <w:rFonts w:cstheme="minorHAnsi"/>
                <w:b/>
                <w:color w:val="000000"/>
                <w:sz w:val="24"/>
                <w:szCs w:val="24"/>
              </w:rPr>
              <w:t>:</w:t>
            </w:r>
          </w:p>
          <w:p w14:paraId="55C27B92" w14:textId="50C0C1FF" w:rsidR="00EE398C" w:rsidRPr="00EE398C" w:rsidRDefault="00EE398C" w:rsidP="00B6338D">
            <w:pPr>
              <w:rPr>
                <w:rFonts w:cstheme="minorHAnsi"/>
                <w:b/>
                <w:color w:val="000000"/>
                <w:sz w:val="24"/>
                <w:szCs w:val="24"/>
              </w:rPr>
            </w:pPr>
          </w:p>
        </w:tc>
        <w:tc>
          <w:tcPr>
            <w:tcW w:w="5395" w:type="dxa"/>
          </w:tcPr>
          <w:p w14:paraId="62666693" w14:textId="77777777" w:rsidR="00EE398C" w:rsidRDefault="00EE398C" w:rsidP="00B6338D">
            <w:pPr>
              <w:rPr>
                <w:rFonts w:cstheme="minorHAnsi"/>
                <w:b/>
                <w:color w:val="000000"/>
                <w:sz w:val="24"/>
                <w:szCs w:val="24"/>
              </w:rPr>
            </w:pPr>
            <w:r w:rsidRPr="00EE398C">
              <w:rPr>
                <w:rFonts w:cstheme="minorHAnsi"/>
                <w:b/>
                <w:color w:val="000000"/>
                <w:sz w:val="24"/>
                <w:szCs w:val="24"/>
              </w:rPr>
              <w:t>Primary Contact</w:t>
            </w:r>
            <w:r>
              <w:rPr>
                <w:rFonts w:cstheme="minorHAnsi"/>
                <w:b/>
                <w:color w:val="000000"/>
                <w:sz w:val="24"/>
                <w:szCs w:val="24"/>
              </w:rPr>
              <w:t xml:space="preserve"> First</w:t>
            </w:r>
            <w:r w:rsidRPr="00EE398C">
              <w:rPr>
                <w:rFonts w:cstheme="minorHAnsi"/>
                <w:b/>
                <w:color w:val="000000"/>
                <w:sz w:val="24"/>
                <w:szCs w:val="24"/>
              </w:rPr>
              <w:t xml:space="preserve"> Name</w:t>
            </w:r>
            <w:r>
              <w:rPr>
                <w:rFonts w:cstheme="minorHAnsi"/>
                <w:b/>
                <w:color w:val="000000"/>
                <w:sz w:val="24"/>
                <w:szCs w:val="24"/>
              </w:rPr>
              <w:t>:</w:t>
            </w:r>
          </w:p>
          <w:p w14:paraId="210B6F6D" w14:textId="29CE1773" w:rsidR="00EE398C" w:rsidRPr="00EE398C" w:rsidRDefault="00EE398C" w:rsidP="00B6338D">
            <w:pPr>
              <w:rPr>
                <w:rFonts w:cstheme="minorHAnsi"/>
                <w:b/>
                <w:color w:val="000000"/>
                <w:sz w:val="24"/>
                <w:szCs w:val="24"/>
              </w:rPr>
            </w:pPr>
          </w:p>
        </w:tc>
      </w:tr>
      <w:tr w:rsidR="00EE398C" w:rsidRPr="00EE398C" w14:paraId="482CE894" w14:textId="77777777" w:rsidTr="00EE398C">
        <w:trPr>
          <w:trHeight w:val="720"/>
        </w:trPr>
        <w:tc>
          <w:tcPr>
            <w:tcW w:w="5395" w:type="dxa"/>
          </w:tcPr>
          <w:p w14:paraId="31472AF5" w14:textId="77777777" w:rsidR="00EE398C" w:rsidRDefault="00EE398C" w:rsidP="00B6338D">
            <w:pPr>
              <w:rPr>
                <w:rFonts w:cstheme="minorHAnsi"/>
                <w:b/>
                <w:color w:val="000000"/>
                <w:sz w:val="24"/>
                <w:szCs w:val="24"/>
              </w:rPr>
            </w:pPr>
            <w:r w:rsidRPr="00EE398C">
              <w:rPr>
                <w:rFonts w:cstheme="minorHAnsi"/>
                <w:b/>
                <w:color w:val="000000"/>
                <w:sz w:val="24"/>
                <w:szCs w:val="24"/>
              </w:rPr>
              <w:t>Primary Contact Email Address:</w:t>
            </w:r>
          </w:p>
          <w:p w14:paraId="5C314D1F" w14:textId="44EC1DFC" w:rsidR="00EE398C" w:rsidRPr="00EE398C" w:rsidRDefault="00EE398C" w:rsidP="00B6338D">
            <w:pPr>
              <w:rPr>
                <w:rFonts w:cstheme="minorHAnsi"/>
                <w:b/>
                <w:color w:val="000000"/>
                <w:sz w:val="24"/>
                <w:szCs w:val="24"/>
              </w:rPr>
            </w:pPr>
          </w:p>
        </w:tc>
        <w:tc>
          <w:tcPr>
            <w:tcW w:w="5395" w:type="dxa"/>
          </w:tcPr>
          <w:p w14:paraId="014B1285" w14:textId="77777777" w:rsidR="00EE398C" w:rsidRDefault="00EE398C" w:rsidP="00B6338D">
            <w:pPr>
              <w:rPr>
                <w:rFonts w:cstheme="minorHAnsi"/>
                <w:b/>
                <w:color w:val="000000"/>
                <w:sz w:val="24"/>
                <w:szCs w:val="24"/>
              </w:rPr>
            </w:pPr>
            <w:r w:rsidRPr="00EE398C">
              <w:rPr>
                <w:rFonts w:cstheme="minorHAnsi"/>
                <w:b/>
                <w:color w:val="000000"/>
                <w:sz w:val="24"/>
                <w:szCs w:val="24"/>
              </w:rPr>
              <w:t>Primary Contact Phone Number:</w:t>
            </w:r>
          </w:p>
          <w:p w14:paraId="6A688E6D" w14:textId="3B247937" w:rsidR="00EE398C" w:rsidRPr="00EE398C" w:rsidRDefault="00EE398C" w:rsidP="00B6338D">
            <w:pPr>
              <w:rPr>
                <w:rFonts w:cstheme="minorHAnsi"/>
                <w:b/>
                <w:color w:val="000000"/>
                <w:sz w:val="24"/>
                <w:szCs w:val="24"/>
              </w:rPr>
            </w:pPr>
          </w:p>
        </w:tc>
      </w:tr>
      <w:tr w:rsidR="00EE398C" w:rsidRPr="00EE398C" w14:paraId="28DF3783" w14:textId="77777777" w:rsidTr="00EE398C">
        <w:trPr>
          <w:trHeight w:val="720"/>
        </w:trPr>
        <w:tc>
          <w:tcPr>
            <w:tcW w:w="5395" w:type="dxa"/>
          </w:tcPr>
          <w:p w14:paraId="67AD02EF" w14:textId="77777777" w:rsidR="00EE398C" w:rsidRDefault="00EE398C" w:rsidP="00B6338D">
            <w:pPr>
              <w:rPr>
                <w:rFonts w:cstheme="minorHAnsi"/>
                <w:b/>
                <w:color w:val="000000"/>
                <w:sz w:val="24"/>
                <w:szCs w:val="24"/>
              </w:rPr>
            </w:pPr>
            <w:r w:rsidRPr="00EE398C">
              <w:rPr>
                <w:rFonts w:cstheme="minorHAnsi"/>
                <w:b/>
                <w:color w:val="000000"/>
                <w:sz w:val="24"/>
                <w:szCs w:val="24"/>
              </w:rPr>
              <w:t>Requested Funding Source:</w:t>
            </w:r>
          </w:p>
          <w:p w14:paraId="4F836B44" w14:textId="1247CDC0" w:rsidR="00EE398C" w:rsidRPr="00EE398C" w:rsidRDefault="00EE398C" w:rsidP="00B6338D">
            <w:pPr>
              <w:rPr>
                <w:rFonts w:cstheme="minorHAnsi"/>
                <w:b/>
                <w:color w:val="000000"/>
                <w:sz w:val="24"/>
                <w:szCs w:val="24"/>
              </w:rPr>
            </w:pPr>
          </w:p>
        </w:tc>
        <w:tc>
          <w:tcPr>
            <w:tcW w:w="5395" w:type="dxa"/>
            <w:vMerge w:val="restart"/>
          </w:tcPr>
          <w:p w14:paraId="718CA1B4" w14:textId="77777777" w:rsidR="00EE398C" w:rsidRDefault="00EE398C" w:rsidP="00B6338D">
            <w:pPr>
              <w:rPr>
                <w:rFonts w:cstheme="minorHAnsi"/>
                <w:b/>
                <w:color w:val="000000"/>
                <w:sz w:val="24"/>
                <w:szCs w:val="24"/>
              </w:rPr>
            </w:pPr>
            <w:r w:rsidRPr="00EE398C">
              <w:rPr>
                <w:rFonts w:cstheme="minorHAnsi"/>
                <w:b/>
                <w:color w:val="000000"/>
                <w:sz w:val="24"/>
                <w:szCs w:val="24"/>
              </w:rPr>
              <w:t>Other Funding to be Used for Project:</w:t>
            </w:r>
          </w:p>
          <w:p w14:paraId="7FB6F4ED" w14:textId="038A73E4" w:rsidR="00EE398C" w:rsidRPr="00EE398C" w:rsidRDefault="00EE398C" w:rsidP="00B6338D">
            <w:pPr>
              <w:rPr>
                <w:rFonts w:cstheme="minorHAnsi"/>
                <w:b/>
                <w:color w:val="000000"/>
                <w:sz w:val="24"/>
                <w:szCs w:val="24"/>
              </w:rPr>
            </w:pPr>
          </w:p>
        </w:tc>
      </w:tr>
      <w:tr w:rsidR="00EE398C" w:rsidRPr="00EE398C" w14:paraId="709E6D01" w14:textId="77777777" w:rsidTr="00EE398C">
        <w:trPr>
          <w:trHeight w:val="720"/>
        </w:trPr>
        <w:tc>
          <w:tcPr>
            <w:tcW w:w="5395" w:type="dxa"/>
          </w:tcPr>
          <w:p w14:paraId="560FCC08" w14:textId="77777777" w:rsidR="00EE398C" w:rsidRDefault="00EE398C" w:rsidP="00B6338D">
            <w:pPr>
              <w:rPr>
                <w:rFonts w:cstheme="minorHAnsi"/>
                <w:b/>
                <w:color w:val="000000"/>
                <w:sz w:val="24"/>
                <w:szCs w:val="24"/>
              </w:rPr>
            </w:pPr>
            <w:r w:rsidRPr="00EE398C">
              <w:rPr>
                <w:rFonts w:cstheme="minorHAnsi"/>
                <w:b/>
                <w:color w:val="000000"/>
                <w:sz w:val="24"/>
                <w:szCs w:val="24"/>
              </w:rPr>
              <w:t>Estimated Total Cost of Project:</w:t>
            </w:r>
          </w:p>
          <w:p w14:paraId="77FE98DF" w14:textId="73566FE6" w:rsidR="00EE398C" w:rsidRPr="00EE398C" w:rsidRDefault="00EE398C" w:rsidP="00B6338D">
            <w:pPr>
              <w:rPr>
                <w:rFonts w:cstheme="minorHAnsi"/>
                <w:b/>
                <w:color w:val="000000"/>
                <w:sz w:val="24"/>
                <w:szCs w:val="24"/>
              </w:rPr>
            </w:pPr>
          </w:p>
        </w:tc>
        <w:tc>
          <w:tcPr>
            <w:tcW w:w="5395" w:type="dxa"/>
            <w:vMerge/>
          </w:tcPr>
          <w:p w14:paraId="7D3B8D08" w14:textId="77777777" w:rsidR="00EE398C" w:rsidRPr="00EE398C" w:rsidRDefault="00EE398C" w:rsidP="00B6338D">
            <w:pPr>
              <w:rPr>
                <w:rFonts w:cstheme="minorHAnsi"/>
                <w:b/>
                <w:color w:val="000000"/>
                <w:sz w:val="24"/>
                <w:szCs w:val="24"/>
              </w:rPr>
            </w:pPr>
          </w:p>
        </w:tc>
      </w:tr>
    </w:tbl>
    <w:p w14:paraId="390EED6C" w14:textId="75CFA537" w:rsidR="00382BFC" w:rsidRPr="00EE398C" w:rsidRDefault="00382BFC" w:rsidP="008F167D">
      <w:pPr>
        <w:rPr>
          <w:rFonts w:cstheme="minorHAnsi"/>
          <w:b/>
          <w:color w:val="000000"/>
          <w:sz w:val="24"/>
          <w:szCs w:val="24"/>
        </w:rPr>
      </w:pPr>
    </w:p>
    <w:p w14:paraId="5B6EB1F7" w14:textId="77777777" w:rsidR="00382BFC" w:rsidRPr="000A2542" w:rsidRDefault="00382BFC" w:rsidP="008F167D">
      <w:pPr>
        <w:rPr>
          <w:rFonts w:cstheme="minorHAnsi"/>
          <w:b/>
          <w:color w:val="000000"/>
          <w:sz w:val="24"/>
          <w:szCs w:val="24"/>
        </w:rPr>
      </w:pPr>
      <w:r w:rsidRPr="000A2542">
        <w:rPr>
          <w:rFonts w:cstheme="minorHAnsi"/>
          <w:b/>
          <w:color w:val="000000"/>
          <w:sz w:val="24"/>
          <w:szCs w:val="24"/>
        </w:rPr>
        <w:t>Please complete the chart below.</w:t>
      </w:r>
    </w:p>
    <w:tbl>
      <w:tblPr>
        <w:tblStyle w:val="TableGrid"/>
        <w:tblW w:w="10795" w:type="dxa"/>
        <w:tblLook w:val="04A0" w:firstRow="1" w:lastRow="0" w:firstColumn="1" w:lastColumn="0" w:noHBand="0" w:noVBand="1"/>
      </w:tblPr>
      <w:tblGrid>
        <w:gridCol w:w="4855"/>
        <w:gridCol w:w="2880"/>
        <w:gridCol w:w="3060"/>
      </w:tblGrid>
      <w:tr w:rsidR="00382BFC" w14:paraId="15B497BD" w14:textId="77777777" w:rsidTr="00EB3550">
        <w:tc>
          <w:tcPr>
            <w:tcW w:w="4855" w:type="dxa"/>
          </w:tcPr>
          <w:p w14:paraId="40AE3908" w14:textId="77777777" w:rsidR="00382BFC" w:rsidRPr="00064AF0" w:rsidRDefault="00382BFC" w:rsidP="008F167D">
            <w:pPr>
              <w:rPr>
                <w:rFonts w:cstheme="minorHAnsi"/>
                <w:b/>
                <w:bCs/>
                <w:color w:val="000000"/>
                <w:sz w:val="24"/>
                <w:szCs w:val="24"/>
              </w:rPr>
            </w:pPr>
            <w:r w:rsidRPr="00064AF0">
              <w:rPr>
                <w:rFonts w:cstheme="minorHAnsi"/>
                <w:b/>
                <w:bCs/>
                <w:color w:val="000000"/>
                <w:sz w:val="24"/>
                <w:szCs w:val="24"/>
              </w:rPr>
              <w:t>Planned Funding Source</w:t>
            </w:r>
          </w:p>
        </w:tc>
        <w:tc>
          <w:tcPr>
            <w:tcW w:w="2880" w:type="dxa"/>
          </w:tcPr>
          <w:p w14:paraId="76CEBBBF" w14:textId="77777777" w:rsidR="00382BFC" w:rsidRPr="00064AF0" w:rsidRDefault="00382BFC" w:rsidP="008F167D">
            <w:pPr>
              <w:rPr>
                <w:rFonts w:cstheme="minorHAnsi"/>
                <w:b/>
                <w:bCs/>
                <w:color w:val="000000"/>
                <w:sz w:val="24"/>
                <w:szCs w:val="24"/>
              </w:rPr>
            </w:pPr>
            <w:r w:rsidRPr="00064AF0">
              <w:rPr>
                <w:rFonts w:cstheme="minorHAnsi"/>
                <w:b/>
                <w:bCs/>
                <w:color w:val="000000"/>
                <w:sz w:val="24"/>
                <w:szCs w:val="24"/>
              </w:rPr>
              <w:t>Cost</w:t>
            </w:r>
          </w:p>
        </w:tc>
        <w:tc>
          <w:tcPr>
            <w:tcW w:w="3060" w:type="dxa"/>
          </w:tcPr>
          <w:p w14:paraId="74059867" w14:textId="77777777" w:rsidR="00382BFC" w:rsidRPr="00064AF0" w:rsidRDefault="00382BFC" w:rsidP="008F167D">
            <w:pPr>
              <w:rPr>
                <w:rFonts w:cstheme="minorHAnsi"/>
                <w:b/>
                <w:bCs/>
                <w:color w:val="000000"/>
                <w:sz w:val="24"/>
                <w:szCs w:val="24"/>
              </w:rPr>
            </w:pPr>
            <w:r w:rsidRPr="00064AF0">
              <w:rPr>
                <w:rFonts w:cstheme="minorHAnsi"/>
                <w:b/>
                <w:bCs/>
                <w:color w:val="000000"/>
                <w:sz w:val="24"/>
                <w:szCs w:val="24"/>
              </w:rPr>
              <w:t>Percentage of Project</w:t>
            </w:r>
          </w:p>
        </w:tc>
      </w:tr>
      <w:tr w:rsidR="00382BFC" w14:paraId="7FB75667" w14:textId="77777777" w:rsidTr="00EB3550">
        <w:tc>
          <w:tcPr>
            <w:tcW w:w="4855" w:type="dxa"/>
          </w:tcPr>
          <w:p w14:paraId="4C2DEBED" w14:textId="77777777" w:rsidR="00382BFC" w:rsidRDefault="00382BFC" w:rsidP="008F167D">
            <w:pPr>
              <w:rPr>
                <w:rFonts w:cstheme="minorHAnsi"/>
                <w:color w:val="000000"/>
                <w:sz w:val="24"/>
                <w:szCs w:val="24"/>
              </w:rPr>
            </w:pPr>
          </w:p>
          <w:p w14:paraId="18C0BAC4" w14:textId="77777777" w:rsidR="00382BFC" w:rsidRDefault="00382BFC" w:rsidP="008F167D">
            <w:pPr>
              <w:rPr>
                <w:rFonts w:cstheme="minorHAnsi"/>
                <w:color w:val="000000"/>
                <w:sz w:val="24"/>
                <w:szCs w:val="24"/>
              </w:rPr>
            </w:pPr>
          </w:p>
        </w:tc>
        <w:tc>
          <w:tcPr>
            <w:tcW w:w="2880" w:type="dxa"/>
          </w:tcPr>
          <w:p w14:paraId="34C9B89C" w14:textId="77777777" w:rsidR="00382BFC" w:rsidRDefault="00382BFC" w:rsidP="008F167D">
            <w:pPr>
              <w:rPr>
                <w:rFonts w:cstheme="minorHAnsi"/>
                <w:color w:val="000000"/>
                <w:sz w:val="24"/>
                <w:szCs w:val="24"/>
              </w:rPr>
            </w:pPr>
          </w:p>
        </w:tc>
        <w:tc>
          <w:tcPr>
            <w:tcW w:w="3060" w:type="dxa"/>
          </w:tcPr>
          <w:p w14:paraId="39BC167C" w14:textId="77777777" w:rsidR="00382BFC" w:rsidRDefault="00382BFC" w:rsidP="008F167D">
            <w:pPr>
              <w:rPr>
                <w:rFonts w:cstheme="minorHAnsi"/>
                <w:color w:val="000000"/>
                <w:sz w:val="24"/>
                <w:szCs w:val="24"/>
              </w:rPr>
            </w:pPr>
          </w:p>
        </w:tc>
      </w:tr>
      <w:tr w:rsidR="00382BFC" w14:paraId="22346F60" w14:textId="77777777" w:rsidTr="00EB3550">
        <w:tc>
          <w:tcPr>
            <w:tcW w:w="4855" w:type="dxa"/>
          </w:tcPr>
          <w:p w14:paraId="377AB8EF" w14:textId="77777777" w:rsidR="00382BFC" w:rsidRDefault="00382BFC" w:rsidP="008F167D">
            <w:pPr>
              <w:rPr>
                <w:rFonts w:cstheme="minorHAnsi"/>
                <w:color w:val="000000"/>
                <w:sz w:val="24"/>
                <w:szCs w:val="24"/>
              </w:rPr>
            </w:pPr>
          </w:p>
          <w:p w14:paraId="7A158B0D" w14:textId="77777777" w:rsidR="00382BFC" w:rsidRDefault="00382BFC" w:rsidP="008F167D">
            <w:pPr>
              <w:rPr>
                <w:rFonts w:cstheme="minorHAnsi"/>
                <w:color w:val="000000"/>
                <w:sz w:val="24"/>
                <w:szCs w:val="24"/>
              </w:rPr>
            </w:pPr>
          </w:p>
        </w:tc>
        <w:tc>
          <w:tcPr>
            <w:tcW w:w="2880" w:type="dxa"/>
          </w:tcPr>
          <w:p w14:paraId="278476F2" w14:textId="77777777" w:rsidR="00382BFC" w:rsidRDefault="00382BFC" w:rsidP="008F167D">
            <w:pPr>
              <w:rPr>
                <w:rFonts w:cstheme="minorHAnsi"/>
                <w:color w:val="000000"/>
                <w:sz w:val="24"/>
                <w:szCs w:val="24"/>
              </w:rPr>
            </w:pPr>
          </w:p>
        </w:tc>
        <w:tc>
          <w:tcPr>
            <w:tcW w:w="3060" w:type="dxa"/>
          </w:tcPr>
          <w:p w14:paraId="1FD3FA42" w14:textId="77777777" w:rsidR="00382BFC" w:rsidRDefault="00382BFC" w:rsidP="008F167D">
            <w:pPr>
              <w:rPr>
                <w:rFonts w:cstheme="minorHAnsi"/>
                <w:color w:val="000000"/>
                <w:sz w:val="24"/>
                <w:szCs w:val="24"/>
              </w:rPr>
            </w:pPr>
          </w:p>
        </w:tc>
      </w:tr>
      <w:tr w:rsidR="00382BFC" w14:paraId="7DB96B00" w14:textId="77777777" w:rsidTr="00EB3550">
        <w:tc>
          <w:tcPr>
            <w:tcW w:w="4855" w:type="dxa"/>
          </w:tcPr>
          <w:p w14:paraId="50A16E98" w14:textId="77777777" w:rsidR="00382BFC" w:rsidRDefault="00382BFC" w:rsidP="008F167D">
            <w:pPr>
              <w:rPr>
                <w:rFonts w:cstheme="minorHAnsi"/>
                <w:color w:val="000000"/>
                <w:sz w:val="24"/>
                <w:szCs w:val="24"/>
              </w:rPr>
            </w:pPr>
          </w:p>
          <w:p w14:paraId="5C1CAA50" w14:textId="77777777" w:rsidR="00382BFC" w:rsidRDefault="00382BFC" w:rsidP="008F167D">
            <w:pPr>
              <w:rPr>
                <w:rFonts w:cstheme="minorHAnsi"/>
                <w:color w:val="000000"/>
                <w:sz w:val="24"/>
                <w:szCs w:val="24"/>
              </w:rPr>
            </w:pPr>
          </w:p>
        </w:tc>
        <w:tc>
          <w:tcPr>
            <w:tcW w:w="2880" w:type="dxa"/>
          </w:tcPr>
          <w:p w14:paraId="52BEAAE2" w14:textId="77777777" w:rsidR="00382BFC" w:rsidRDefault="00382BFC" w:rsidP="008F167D">
            <w:pPr>
              <w:rPr>
                <w:rFonts w:cstheme="minorHAnsi"/>
                <w:color w:val="000000"/>
                <w:sz w:val="24"/>
                <w:szCs w:val="24"/>
              </w:rPr>
            </w:pPr>
          </w:p>
        </w:tc>
        <w:tc>
          <w:tcPr>
            <w:tcW w:w="3060" w:type="dxa"/>
          </w:tcPr>
          <w:p w14:paraId="77AE888C" w14:textId="77777777" w:rsidR="00382BFC" w:rsidRDefault="00382BFC" w:rsidP="008F167D">
            <w:pPr>
              <w:rPr>
                <w:rFonts w:cstheme="minorHAnsi"/>
                <w:color w:val="000000"/>
                <w:sz w:val="24"/>
                <w:szCs w:val="24"/>
              </w:rPr>
            </w:pPr>
          </w:p>
        </w:tc>
      </w:tr>
      <w:tr w:rsidR="00382BFC" w14:paraId="4FE14679" w14:textId="77777777" w:rsidTr="00EB3550">
        <w:tc>
          <w:tcPr>
            <w:tcW w:w="4855" w:type="dxa"/>
            <w:shd w:val="clear" w:color="auto" w:fill="E7E6E6" w:themeFill="background2"/>
          </w:tcPr>
          <w:p w14:paraId="4D4AE0DA" w14:textId="77777777" w:rsidR="00382BFC" w:rsidRDefault="00382BFC" w:rsidP="008F167D">
            <w:pPr>
              <w:rPr>
                <w:rFonts w:cstheme="minorHAnsi"/>
                <w:color w:val="000000"/>
                <w:sz w:val="24"/>
                <w:szCs w:val="24"/>
              </w:rPr>
            </w:pPr>
          </w:p>
          <w:p w14:paraId="4CA0DCCB" w14:textId="77777777" w:rsidR="00382BFC" w:rsidRDefault="00382BFC" w:rsidP="008F167D">
            <w:pPr>
              <w:rPr>
                <w:rFonts w:cstheme="minorHAnsi"/>
                <w:color w:val="000000"/>
                <w:sz w:val="24"/>
                <w:szCs w:val="24"/>
              </w:rPr>
            </w:pPr>
            <w:r>
              <w:rPr>
                <w:rFonts w:cstheme="minorHAnsi"/>
                <w:color w:val="000000"/>
                <w:sz w:val="24"/>
                <w:szCs w:val="24"/>
              </w:rPr>
              <w:t>Total Cost</w:t>
            </w:r>
          </w:p>
        </w:tc>
        <w:tc>
          <w:tcPr>
            <w:tcW w:w="2880" w:type="dxa"/>
            <w:shd w:val="clear" w:color="auto" w:fill="E7E6E6" w:themeFill="background2"/>
          </w:tcPr>
          <w:p w14:paraId="52432A2B" w14:textId="77777777" w:rsidR="00382BFC" w:rsidRDefault="00382BFC" w:rsidP="008F167D">
            <w:pPr>
              <w:rPr>
                <w:rFonts w:cstheme="minorHAnsi"/>
                <w:color w:val="000000"/>
                <w:sz w:val="24"/>
                <w:szCs w:val="24"/>
              </w:rPr>
            </w:pPr>
          </w:p>
        </w:tc>
        <w:tc>
          <w:tcPr>
            <w:tcW w:w="3060" w:type="dxa"/>
            <w:shd w:val="clear" w:color="auto" w:fill="E7E6E6" w:themeFill="background2"/>
          </w:tcPr>
          <w:p w14:paraId="75B585F7" w14:textId="77777777" w:rsidR="00382BFC" w:rsidRDefault="00382BFC" w:rsidP="008F167D">
            <w:pPr>
              <w:rPr>
                <w:rFonts w:cstheme="minorHAnsi"/>
                <w:color w:val="000000"/>
                <w:sz w:val="24"/>
                <w:szCs w:val="24"/>
              </w:rPr>
            </w:pPr>
          </w:p>
        </w:tc>
      </w:tr>
    </w:tbl>
    <w:p w14:paraId="10595F9C" w14:textId="77777777" w:rsidR="00382BFC" w:rsidRDefault="00382BFC" w:rsidP="008F167D">
      <w:pPr>
        <w:rPr>
          <w:rFonts w:cstheme="minorHAnsi"/>
          <w:color w:val="000000"/>
          <w:sz w:val="24"/>
          <w:szCs w:val="24"/>
        </w:rPr>
      </w:pPr>
    </w:p>
    <w:p w14:paraId="032046B3" w14:textId="77777777" w:rsidR="000214F9" w:rsidRDefault="000214F9">
      <w:pPr>
        <w:rPr>
          <w:rFonts w:cstheme="minorHAnsi"/>
          <w:color w:val="000000"/>
          <w:sz w:val="24"/>
          <w:szCs w:val="24"/>
        </w:rPr>
      </w:pPr>
      <w:r>
        <w:rPr>
          <w:rFonts w:cstheme="minorHAnsi"/>
          <w:color w:val="000000"/>
          <w:sz w:val="24"/>
          <w:szCs w:val="24"/>
        </w:rPr>
        <w:br w:type="page"/>
      </w:r>
    </w:p>
    <w:p w14:paraId="5A56142A" w14:textId="77777777" w:rsidR="000214F9" w:rsidRDefault="000214F9" w:rsidP="008F167D">
      <w:pPr>
        <w:rPr>
          <w:rFonts w:cstheme="minorHAnsi"/>
          <w:color w:val="000000"/>
          <w:sz w:val="24"/>
          <w:szCs w:val="24"/>
        </w:rPr>
      </w:pPr>
    </w:p>
    <w:tbl>
      <w:tblPr>
        <w:tblStyle w:val="TableGrid"/>
        <w:tblW w:w="0" w:type="auto"/>
        <w:tblLook w:val="04A0" w:firstRow="1" w:lastRow="0" w:firstColumn="1" w:lastColumn="0" w:noHBand="0" w:noVBand="1"/>
      </w:tblPr>
      <w:tblGrid>
        <w:gridCol w:w="10790"/>
      </w:tblGrid>
      <w:tr w:rsidR="00EB3550" w:rsidRPr="00EB3550" w14:paraId="0539B2B1" w14:textId="77777777" w:rsidTr="00EB3550">
        <w:tc>
          <w:tcPr>
            <w:tcW w:w="10790" w:type="dxa"/>
          </w:tcPr>
          <w:p w14:paraId="497DC0C7" w14:textId="4B63E816" w:rsidR="00EB3550" w:rsidRPr="00707D4F" w:rsidRDefault="00EB3550" w:rsidP="00707D4F">
            <w:pPr>
              <w:rPr>
                <w:rFonts w:cstheme="minorHAnsi"/>
                <w:b/>
                <w:color w:val="000000"/>
                <w:sz w:val="24"/>
                <w:szCs w:val="24"/>
              </w:rPr>
            </w:pPr>
            <w:r w:rsidRPr="00707D4F">
              <w:rPr>
                <w:rFonts w:cstheme="minorHAnsi"/>
                <w:b/>
                <w:color w:val="000000"/>
                <w:sz w:val="24"/>
                <w:szCs w:val="24"/>
              </w:rPr>
              <w:t>Please describe the equipment, services, and other project costs that will be charged for successful completion of the proposed project.</w:t>
            </w:r>
          </w:p>
          <w:p w14:paraId="1C4DC6BB" w14:textId="77777777" w:rsidR="00EB3550" w:rsidRDefault="00EB3550" w:rsidP="00B40BB2">
            <w:pPr>
              <w:rPr>
                <w:rFonts w:cstheme="minorHAnsi"/>
                <w:color w:val="000000"/>
                <w:sz w:val="24"/>
                <w:szCs w:val="24"/>
              </w:rPr>
            </w:pPr>
          </w:p>
          <w:p w14:paraId="6290B955" w14:textId="77777777" w:rsidR="00EB3550" w:rsidRDefault="00EB3550" w:rsidP="00B40BB2">
            <w:pPr>
              <w:rPr>
                <w:rFonts w:cstheme="minorHAnsi"/>
                <w:color w:val="000000"/>
                <w:sz w:val="24"/>
                <w:szCs w:val="24"/>
              </w:rPr>
            </w:pPr>
          </w:p>
          <w:p w14:paraId="71813777" w14:textId="6ECDA71B" w:rsidR="00EB3550" w:rsidRPr="00EB3550" w:rsidRDefault="00EB3550" w:rsidP="00B40BB2">
            <w:pPr>
              <w:rPr>
                <w:rFonts w:cstheme="minorHAnsi"/>
                <w:color w:val="000000"/>
                <w:sz w:val="24"/>
                <w:szCs w:val="24"/>
              </w:rPr>
            </w:pPr>
          </w:p>
        </w:tc>
      </w:tr>
    </w:tbl>
    <w:p w14:paraId="636FC4B2" w14:textId="582A1170" w:rsidR="00707D4F" w:rsidRDefault="00707D4F"/>
    <w:tbl>
      <w:tblPr>
        <w:tblStyle w:val="TableGrid"/>
        <w:tblW w:w="0" w:type="auto"/>
        <w:tblLook w:val="04A0" w:firstRow="1" w:lastRow="0" w:firstColumn="1" w:lastColumn="0" w:noHBand="0" w:noVBand="1"/>
      </w:tblPr>
      <w:tblGrid>
        <w:gridCol w:w="10790"/>
      </w:tblGrid>
      <w:tr w:rsidR="00EB3550" w:rsidRPr="00EB3550" w14:paraId="34EA7E58" w14:textId="77777777" w:rsidTr="00EB3550">
        <w:tc>
          <w:tcPr>
            <w:tcW w:w="10790" w:type="dxa"/>
          </w:tcPr>
          <w:p w14:paraId="055B0796" w14:textId="13A2B112" w:rsidR="00EB3550" w:rsidRPr="00707D4F" w:rsidRDefault="00EB3550" w:rsidP="00B40BB2">
            <w:pPr>
              <w:rPr>
                <w:rFonts w:cstheme="minorHAnsi"/>
                <w:b/>
                <w:color w:val="000000"/>
                <w:sz w:val="24"/>
                <w:szCs w:val="24"/>
              </w:rPr>
            </w:pPr>
            <w:r w:rsidRPr="00707D4F">
              <w:rPr>
                <w:rFonts w:cstheme="minorHAnsi"/>
                <w:b/>
                <w:color w:val="000000"/>
                <w:sz w:val="24"/>
                <w:szCs w:val="24"/>
              </w:rPr>
              <w:t xml:space="preserve">Please explain why the cost is allowable under the applicable federal program (e.g., ESSER, IDEA, ESEA, etc.).  For ESSER programs, also describe how the project will </w:t>
            </w:r>
            <w:r w:rsidRPr="00707D4F">
              <w:rPr>
                <w:b/>
                <w:sz w:val="24"/>
                <w:szCs w:val="24"/>
              </w:rPr>
              <w:t>prevent, prepare for, and respond to coronavirus pandemic.</w:t>
            </w:r>
            <w:r w:rsidRPr="00707D4F">
              <w:rPr>
                <w:rFonts w:cstheme="minorHAnsi"/>
                <w:b/>
                <w:i/>
                <w:color w:val="000000"/>
                <w:sz w:val="24"/>
                <w:szCs w:val="24"/>
              </w:rPr>
              <w:t xml:space="preserve"> </w:t>
            </w:r>
          </w:p>
          <w:p w14:paraId="500EA1FE" w14:textId="77777777" w:rsidR="00EB3550" w:rsidRDefault="00EB3550" w:rsidP="00B40BB2">
            <w:pPr>
              <w:rPr>
                <w:rFonts w:cstheme="minorHAnsi"/>
                <w:color w:val="000000"/>
                <w:sz w:val="24"/>
                <w:szCs w:val="24"/>
              </w:rPr>
            </w:pPr>
          </w:p>
          <w:p w14:paraId="51862224" w14:textId="77777777" w:rsidR="00EB3550" w:rsidRDefault="00EB3550" w:rsidP="00B40BB2">
            <w:pPr>
              <w:rPr>
                <w:rFonts w:cstheme="minorHAnsi"/>
                <w:color w:val="000000"/>
                <w:sz w:val="24"/>
                <w:szCs w:val="24"/>
              </w:rPr>
            </w:pPr>
          </w:p>
          <w:p w14:paraId="2C5ADD5A" w14:textId="5C695F9E" w:rsidR="00EB3550" w:rsidRPr="00EB3550" w:rsidRDefault="00EB3550" w:rsidP="00B40BB2">
            <w:pPr>
              <w:rPr>
                <w:rFonts w:cstheme="minorHAnsi"/>
                <w:color w:val="000000"/>
                <w:sz w:val="24"/>
                <w:szCs w:val="24"/>
              </w:rPr>
            </w:pPr>
          </w:p>
        </w:tc>
      </w:tr>
    </w:tbl>
    <w:p w14:paraId="570918F7" w14:textId="4E9BA344" w:rsidR="00707D4F" w:rsidRDefault="00707D4F"/>
    <w:tbl>
      <w:tblPr>
        <w:tblStyle w:val="TableGrid"/>
        <w:tblW w:w="0" w:type="auto"/>
        <w:tblLook w:val="04A0" w:firstRow="1" w:lastRow="0" w:firstColumn="1" w:lastColumn="0" w:noHBand="0" w:noVBand="1"/>
      </w:tblPr>
      <w:tblGrid>
        <w:gridCol w:w="10790"/>
      </w:tblGrid>
      <w:tr w:rsidR="00EB3550" w:rsidRPr="00EB3550" w14:paraId="706F331C" w14:textId="77777777" w:rsidTr="00707D4F">
        <w:tc>
          <w:tcPr>
            <w:tcW w:w="10790" w:type="dxa"/>
            <w:tcBorders>
              <w:top w:val="single" w:sz="4" w:space="0" w:color="auto"/>
              <w:left w:val="single" w:sz="4" w:space="0" w:color="auto"/>
              <w:bottom w:val="nil"/>
              <w:right w:val="single" w:sz="4" w:space="0" w:color="auto"/>
            </w:tcBorders>
          </w:tcPr>
          <w:p w14:paraId="111BBEB0" w14:textId="043742C4" w:rsidR="00EB3550" w:rsidRPr="00707D4F" w:rsidRDefault="00EB3550" w:rsidP="00B40BB2">
            <w:pPr>
              <w:rPr>
                <w:rFonts w:cstheme="minorHAnsi"/>
                <w:b/>
                <w:color w:val="000000"/>
                <w:sz w:val="24"/>
                <w:szCs w:val="24"/>
              </w:rPr>
            </w:pPr>
            <w:r w:rsidRPr="00707D4F">
              <w:rPr>
                <w:rFonts w:cstheme="minorHAnsi"/>
                <w:b/>
                <w:color w:val="000000"/>
                <w:sz w:val="24"/>
                <w:szCs w:val="24"/>
              </w:rPr>
              <w:t>Please describe:</w:t>
            </w:r>
          </w:p>
        </w:tc>
      </w:tr>
      <w:tr w:rsidR="00EB3550" w:rsidRPr="00EB3550" w14:paraId="6B40A3AC" w14:textId="77777777" w:rsidTr="00707D4F">
        <w:tc>
          <w:tcPr>
            <w:tcW w:w="10790" w:type="dxa"/>
            <w:tcBorders>
              <w:top w:val="nil"/>
            </w:tcBorders>
          </w:tcPr>
          <w:p w14:paraId="0BE292E5" w14:textId="107DCC2A" w:rsidR="00EB3550" w:rsidRPr="00707D4F" w:rsidRDefault="00EB3550" w:rsidP="00B40BB2">
            <w:pPr>
              <w:pStyle w:val="ListParagraph"/>
              <w:numPr>
                <w:ilvl w:val="0"/>
                <w:numId w:val="7"/>
              </w:numPr>
              <w:rPr>
                <w:rFonts w:cstheme="minorHAnsi"/>
                <w:b/>
                <w:color w:val="000000"/>
                <w:sz w:val="24"/>
                <w:szCs w:val="24"/>
              </w:rPr>
            </w:pPr>
            <w:r w:rsidRPr="00707D4F">
              <w:rPr>
                <w:rFonts w:cstheme="minorHAnsi"/>
                <w:b/>
                <w:color w:val="000000"/>
                <w:sz w:val="24"/>
                <w:szCs w:val="24"/>
              </w:rPr>
              <w:t xml:space="preserve">why the proposed costs </w:t>
            </w:r>
            <w:r w:rsidR="00707D4F" w:rsidRPr="00707D4F">
              <w:rPr>
                <w:rFonts w:cstheme="minorHAnsi"/>
                <w:b/>
                <w:color w:val="000000"/>
                <w:sz w:val="24"/>
                <w:szCs w:val="24"/>
              </w:rPr>
              <w:t>are</w:t>
            </w:r>
            <w:r w:rsidRPr="00707D4F">
              <w:rPr>
                <w:rFonts w:cstheme="minorHAnsi"/>
                <w:b/>
                <w:color w:val="000000"/>
                <w:sz w:val="24"/>
                <w:szCs w:val="24"/>
              </w:rPr>
              <w:t xml:space="preserve"> necessary</w:t>
            </w:r>
            <w:r w:rsidRPr="00707D4F">
              <w:rPr>
                <w:rFonts w:cstheme="minorHAnsi"/>
                <w:b/>
                <w:color w:val="000000"/>
                <w:sz w:val="24"/>
                <w:szCs w:val="24"/>
              </w:rPr>
              <w:t>;</w:t>
            </w:r>
          </w:p>
          <w:p w14:paraId="534E4B27" w14:textId="77777777" w:rsidR="00EB3550" w:rsidRPr="00707D4F" w:rsidRDefault="00EB3550" w:rsidP="00EB3550">
            <w:pPr>
              <w:pStyle w:val="ListParagraph"/>
              <w:rPr>
                <w:rFonts w:cstheme="minorHAnsi"/>
                <w:b/>
                <w:color w:val="000000"/>
                <w:sz w:val="24"/>
                <w:szCs w:val="24"/>
              </w:rPr>
            </w:pPr>
          </w:p>
          <w:p w14:paraId="7508BCD1" w14:textId="60EBDB70" w:rsidR="00707D4F" w:rsidRPr="00707D4F" w:rsidRDefault="00707D4F" w:rsidP="00EB3550">
            <w:pPr>
              <w:pStyle w:val="ListParagraph"/>
              <w:rPr>
                <w:rFonts w:cstheme="minorHAnsi"/>
                <w:b/>
                <w:color w:val="000000"/>
                <w:sz w:val="24"/>
                <w:szCs w:val="24"/>
              </w:rPr>
            </w:pPr>
          </w:p>
        </w:tc>
      </w:tr>
      <w:tr w:rsidR="00EB3550" w:rsidRPr="00EB3550" w14:paraId="404B8DA4" w14:textId="77777777" w:rsidTr="00EB3550">
        <w:tc>
          <w:tcPr>
            <w:tcW w:w="10790" w:type="dxa"/>
          </w:tcPr>
          <w:p w14:paraId="56C8098C" w14:textId="77777777" w:rsidR="00EB3550" w:rsidRPr="00707D4F" w:rsidRDefault="00EB3550" w:rsidP="00B40BB2">
            <w:pPr>
              <w:pStyle w:val="ListParagraph"/>
              <w:numPr>
                <w:ilvl w:val="0"/>
                <w:numId w:val="7"/>
              </w:numPr>
              <w:rPr>
                <w:rFonts w:cstheme="minorHAnsi"/>
                <w:b/>
                <w:color w:val="000000"/>
                <w:sz w:val="24"/>
                <w:szCs w:val="24"/>
              </w:rPr>
            </w:pPr>
            <w:r w:rsidRPr="00707D4F">
              <w:rPr>
                <w:rFonts w:cstheme="minorHAnsi"/>
                <w:b/>
                <w:color w:val="000000"/>
                <w:sz w:val="24"/>
                <w:szCs w:val="24"/>
              </w:rPr>
              <w:t>the procurement process used (or to be used) to ensure the costs is reasonable and the most cost-effective means of meeting the identified need, including any cost price analysis utilized</w:t>
            </w:r>
            <w:r w:rsidRPr="00707D4F">
              <w:rPr>
                <w:rFonts w:cstheme="minorHAnsi"/>
                <w:b/>
                <w:color w:val="000000"/>
                <w:sz w:val="24"/>
                <w:szCs w:val="24"/>
              </w:rPr>
              <w:t>; and</w:t>
            </w:r>
            <w:r w:rsidRPr="00707D4F">
              <w:rPr>
                <w:rFonts w:cstheme="minorHAnsi"/>
                <w:b/>
                <w:color w:val="000000"/>
                <w:sz w:val="24"/>
                <w:szCs w:val="24"/>
              </w:rPr>
              <w:t xml:space="preserve"> </w:t>
            </w:r>
          </w:p>
          <w:p w14:paraId="6194917A" w14:textId="77777777" w:rsidR="00EB3550" w:rsidRPr="00707D4F" w:rsidRDefault="00EB3550" w:rsidP="00EB3550">
            <w:pPr>
              <w:rPr>
                <w:rFonts w:cstheme="minorHAnsi"/>
                <w:b/>
                <w:color w:val="000000"/>
                <w:sz w:val="24"/>
                <w:szCs w:val="24"/>
              </w:rPr>
            </w:pPr>
          </w:p>
          <w:p w14:paraId="29D3E02B" w14:textId="7DA5ED7B" w:rsidR="00707D4F" w:rsidRPr="00707D4F" w:rsidRDefault="00707D4F" w:rsidP="00EB3550">
            <w:pPr>
              <w:rPr>
                <w:rFonts w:cstheme="minorHAnsi"/>
                <w:b/>
                <w:color w:val="000000"/>
                <w:sz w:val="24"/>
                <w:szCs w:val="24"/>
              </w:rPr>
            </w:pPr>
          </w:p>
        </w:tc>
      </w:tr>
      <w:tr w:rsidR="00EB3550" w:rsidRPr="00EB3550" w14:paraId="7865AA09" w14:textId="77777777" w:rsidTr="00EB3550">
        <w:tc>
          <w:tcPr>
            <w:tcW w:w="10790" w:type="dxa"/>
          </w:tcPr>
          <w:p w14:paraId="15E100E7" w14:textId="77777777" w:rsidR="00EB3550" w:rsidRPr="00707D4F" w:rsidRDefault="00EB3550" w:rsidP="00B40BB2">
            <w:pPr>
              <w:pStyle w:val="ListParagraph"/>
              <w:numPr>
                <w:ilvl w:val="0"/>
                <w:numId w:val="7"/>
              </w:numPr>
              <w:rPr>
                <w:rFonts w:cstheme="minorHAnsi"/>
                <w:b/>
                <w:color w:val="000000"/>
                <w:sz w:val="24"/>
                <w:szCs w:val="24"/>
              </w:rPr>
            </w:pPr>
            <w:r w:rsidRPr="00707D4F">
              <w:rPr>
                <w:rFonts w:cstheme="minorHAnsi"/>
                <w:b/>
                <w:color w:val="000000"/>
                <w:sz w:val="24"/>
                <w:szCs w:val="24"/>
              </w:rPr>
              <w:t>Any quote or estimates of the item to be purchased, and, if applicable, documentation demonstrating why this option is the most cost effective and submit the document to KSDE</w:t>
            </w:r>
            <w:r w:rsidRPr="00707D4F">
              <w:rPr>
                <w:rFonts w:cstheme="minorHAnsi"/>
                <w:b/>
                <w:color w:val="000000"/>
                <w:sz w:val="24"/>
                <w:szCs w:val="24"/>
              </w:rPr>
              <w:t>.</w:t>
            </w:r>
          </w:p>
          <w:p w14:paraId="105AA6FC" w14:textId="77777777" w:rsidR="00EB3550" w:rsidRPr="00707D4F" w:rsidRDefault="00EB3550" w:rsidP="00EB3550">
            <w:pPr>
              <w:pStyle w:val="ListParagraph"/>
              <w:rPr>
                <w:rFonts w:cstheme="minorHAnsi"/>
                <w:b/>
                <w:color w:val="000000"/>
                <w:sz w:val="24"/>
                <w:szCs w:val="24"/>
              </w:rPr>
            </w:pPr>
          </w:p>
          <w:p w14:paraId="2D859303" w14:textId="1B9DD0A9" w:rsidR="00707D4F" w:rsidRPr="00707D4F" w:rsidRDefault="00707D4F" w:rsidP="00EB3550">
            <w:pPr>
              <w:pStyle w:val="ListParagraph"/>
              <w:rPr>
                <w:rFonts w:cstheme="minorHAnsi"/>
                <w:b/>
                <w:color w:val="000000"/>
                <w:sz w:val="24"/>
                <w:szCs w:val="24"/>
              </w:rPr>
            </w:pPr>
          </w:p>
        </w:tc>
      </w:tr>
    </w:tbl>
    <w:p w14:paraId="2A60D2DC" w14:textId="77777777" w:rsidR="00DC5085" w:rsidRDefault="00DC5085"/>
    <w:tbl>
      <w:tblPr>
        <w:tblStyle w:val="TableGrid"/>
        <w:tblW w:w="0" w:type="auto"/>
        <w:tblLook w:val="04A0" w:firstRow="1" w:lastRow="0" w:firstColumn="1" w:lastColumn="0" w:noHBand="0" w:noVBand="1"/>
      </w:tblPr>
      <w:tblGrid>
        <w:gridCol w:w="10790"/>
      </w:tblGrid>
      <w:tr w:rsidR="00EB3550" w:rsidRPr="00EB3550" w14:paraId="0D219D07" w14:textId="77777777" w:rsidTr="00DC5085">
        <w:tc>
          <w:tcPr>
            <w:tcW w:w="10790" w:type="dxa"/>
            <w:tcBorders>
              <w:bottom w:val="nil"/>
            </w:tcBorders>
          </w:tcPr>
          <w:p w14:paraId="6692144C" w14:textId="51D9D39A" w:rsidR="00EB3550" w:rsidRPr="00DC5085" w:rsidRDefault="00EB3550" w:rsidP="00B40BB2">
            <w:pPr>
              <w:rPr>
                <w:rFonts w:cstheme="minorHAnsi"/>
                <w:b/>
                <w:color w:val="000000"/>
                <w:sz w:val="24"/>
                <w:szCs w:val="24"/>
              </w:rPr>
            </w:pPr>
            <w:r w:rsidRPr="00DC5085">
              <w:rPr>
                <w:rFonts w:cstheme="minorHAnsi"/>
                <w:b/>
                <w:color w:val="000000"/>
                <w:sz w:val="24"/>
                <w:szCs w:val="24"/>
              </w:rPr>
              <w:t>For construction, please discuss:</w:t>
            </w:r>
          </w:p>
        </w:tc>
      </w:tr>
      <w:tr w:rsidR="00EB3550" w:rsidRPr="00EB3550" w14:paraId="3ABA4EEE" w14:textId="77777777" w:rsidTr="00DC5085">
        <w:tc>
          <w:tcPr>
            <w:tcW w:w="10790" w:type="dxa"/>
            <w:tcBorders>
              <w:top w:val="nil"/>
            </w:tcBorders>
          </w:tcPr>
          <w:p w14:paraId="4D4E921A" w14:textId="77777777" w:rsidR="00EB3550" w:rsidRPr="00DC5085" w:rsidRDefault="00EB3550" w:rsidP="00B40BB2">
            <w:pPr>
              <w:pStyle w:val="ListParagraph"/>
              <w:numPr>
                <w:ilvl w:val="0"/>
                <w:numId w:val="6"/>
              </w:numPr>
              <w:rPr>
                <w:rFonts w:cstheme="minorHAnsi"/>
                <w:b/>
                <w:color w:val="000000"/>
                <w:sz w:val="24"/>
                <w:szCs w:val="24"/>
              </w:rPr>
            </w:pPr>
            <w:r w:rsidRPr="00DC5085">
              <w:rPr>
                <w:rFonts w:cstheme="minorHAnsi"/>
                <w:b/>
                <w:color w:val="000000"/>
                <w:sz w:val="24"/>
                <w:szCs w:val="24"/>
              </w:rPr>
              <w:t>the impact of the proposed construction on the quality of the environment in accordance with Section 102(2)(C) of the National Environmental Policy Act of 1969</w:t>
            </w:r>
            <w:r w:rsidRPr="00DC5085">
              <w:rPr>
                <w:rStyle w:val="FootnoteReference"/>
                <w:rFonts w:cstheme="minorHAnsi"/>
                <w:b/>
                <w:color w:val="000000"/>
                <w:sz w:val="24"/>
                <w:szCs w:val="24"/>
              </w:rPr>
              <w:footnoteReference w:id="3"/>
            </w:r>
            <w:r w:rsidRPr="00DC5085">
              <w:rPr>
                <w:rFonts w:cstheme="minorHAnsi"/>
                <w:b/>
                <w:color w:val="000000"/>
                <w:sz w:val="24"/>
                <w:szCs w:val="24"/>
              </w:rPr>
              <w:t xml:space="preserve"> and Executive Order 11514</w:t>
            </w:r>
            <w:r w:rsidRPr="00DC5085">
              <w:rPr>
                <w:rStyle w:val="FootnoteReference"/>
                <w:rFonts w:cstheme="minorHAnsi"/>
                <w:b/>
                <w:color w:val="000000"/>
                <w:sz w:val="24"/>
                <w:szCs w:val="24"/>
              </w:rPr>
              <w:footnoteReference w:id="4"/>
            </w:r>
            <w:r w:rsidRPr="00DC5085">
              <w:rPr>
                <w:rFonts w:cstheme="minorHAnsi"/>
                <w:b/>
                <w:color w:val="000000"/>
                <w:sz w:val="24"/>
                <w:szCs w:val="24"/>
              </w:rPr>
              <w:t xml:space="preserve"> (34 CFR 75.601) </w:t>
            </w:r>
          </w:p>
          <w:p w14:paraId="5D91BADB" w14:textId="3922BDB9" w:rsidR="00DC5085" w:rsidRPr="00DC5085" w:rsidRDefault="00DC5085" w:rsidP="00EB3550">
            <w:pPr>
              <w:pStyle w:val="ListParagraph"/>
              <w:rPr>
                <w:rFonts w:cstheme="minorHAnsi"/>
                <w:b/>
                <w:color w:val="000000"/>
                <w:sz w:val="24"/>
                <w:szCs w:val="24"/>
              </w:rPr>
            </w:pPr>
          </w:p>
        </w:tc>
      </w:tr>
      <w:tr w:rsidR="00EB3550" w:rsidRPr="00EB3550" w14:paraId="0AD9DA61" w14:textId="77777777" w:rsidTr="00EB3550">
        <w:tc>
          <w:tcPr>
            <w:tcW w:w="10790" w:type="dxa"/>
          </w:tcPr>
          <w:p w14:paraId="10CDB281" w14:textId="77777777" w:rsidR="00EB3550" w:rsidRPr="00DC5085" w:rsidRDefault="00EB3550" w:rsidP="00B40BB2">
            <w:pPr>
              <w:pStyle w:val="ListParagraph"/>
              <w:numPr>
                <w:ilvl w:val="0"/>
                <w:numId w:val="6"/>
              </w:numPr>
              <w:rPr>
                <w:rFonts w:cstheme="minorHAnsi"/>
                <w:b/>
                <w:color w:val="000000"/>
                <w:sz w:val="24"/>
                <w:szCs w:val="24"/>
              </w:rPr>
            </w:pPr>
            <w:r w:rsidRPr="00DC5085">
              <w:rPr>
                <w:rFonts w:cstheme="minorHAnsi"/>
                <w:b/>
                <w:color w:val="000000"/>
                <w:sz w:val="24"/>
                <w:szCs w:val="24"/>
              </w:rPr>
              <w:t>any probable effect on any district, site, building, structure, or object that is included or eligible under the National Register of Historic Places (34 CFR 75.602).</w:t>
            </w:r>
            <w:r w:rsidRPr="00DC5085">
              <w:rPr>
                <w:rStyle w:val="FootnoteReference"/>
                <w:rFonts w:cstheme="minorHAnsi"/>
                <w:b/>
                <w:color w:val="000000"/>
                <w:sz w:val="24"/>
                <w:szCs w:val="24"/>
              </w:rPr>
              <w:footnoteReference w:id="5"/>
            </w:r>
            <w:r w:rsidRPr="00DC5085">
              <w:rPr>
                <w:rFonts w:cstheme="minorHAnsi"/>
                <w:b/>
                <w:color w:val="000000"/>
                <w:sz w:val="24"/>
                <w:szCs w:val="24"/>
              </w:rPr>
              <w:t xml:space="preserve"> </w:t>
            </w:r>
          </w:p>
          <w:p w14:paraId="1872E578" w14:textId="5A47D546" w:rsidR="00EB3550" w:rsidRPr="00EB3550" w:rsidRDefault="00EB3550" w:rsidP="00EB3550">
            <w:pPr>
              <w:pStyle w:val="ListParagraph"/>
              <w:rPr>
                <w:rFonts w:cstheme="minorHAnsi"/>
                <w:color w:val="000000"/>
                <w:sz w:val="24"/>
                <w:szCs w:val="24"/>
              </w:rPr>
            </w:pPr>
          </w:p>
        </w:tc>
      </w:tr>
    </w:tbl>
    <w:p w14:paraId="628E2A30" w14:textId="77777777" w:rsidR="00382BFC" w:rsidRDefault="00382BFC" w:rsidP="008F167D">
      <w:pPr>
        <w:rPr>
          <w:rFonts w:cstheme="minorHAnsi"/>
          <w:color w:val="000000"/>
          <w:sz w:val="24"/>
          <w:szCs w:val="24"/>
        </w:rPr>
      </w:pPr>
    </w:p>
    <w:p w14:paraId="02F55B11" w14:textId="2DC6DAE0" w:rsidR="00382BFC" w:rsidRDefault="00382BFC" w:rsidP="008F167D">
      <w:pPr>
        <w:jc w:val="center"/>
        <w:rPr>
          <w:rFonts w:cstheme="minorHAnsi"/>
          <w:color w:val="000000"/>
          <w:sz w:val="24"/>
          <w:szCs w:val="24"/>
        </w:rPr>
      </w:pPr>
      <w:r>
        <w:rPr>
          <w:b/>
          <w:bCs/>
          <w:sz w:val="28"/>
          <w:szCs w:val="28"/>
          <w:u w:val="single"/>
        </w:rPr>
        <w:t>Assurances</w:t>
      </w:r>
    </w:p>
    <w:p w14:paraId="19B356AC" w14:textId="40666C83" w:rsidR="00382BFC" w:rsidRDefault="00382BFC" w:rsidP="008F167D">
      <w:pPr>
        <w:autoSpaceDE w:val="0"/>
        <w:autoSpaceDN w:val="0"/>
        <w:adjustRightInd w:val="0"/>
        <w:spacing w:after="0" w:line="240" w:lineRule="auto"/>
        <w:rPr>
          <w:rFonts w:cstheme="minorHAnsi"/>
          <w:color w:val="000000"/>
          <w:sz w:val="24"/>
          <w:szCs w:val="24"/>
        </w:rPr>
      </w:pPr>
      <w:r w:rsidRPr="0088316B">
        <w:rPr>
          <w:rFonts w:cstheme="minorHAnsi"/>
          <w:color w:val="000000"/>
          <w:sz w:val="24"/>
          <w:szCs w:val="24"/>
        </w:rPr>
        <w:t>The</w:t>
      </w:r>
      <w:r>
        <w:rPr>
          <w:rFonts w:cstheme="minorHAnsi"/>
          <w:color w:val="000000"/>
          <w:sz w:val="24"/>
          <w:szCs w:val="24"/>
        </w:rPr>
        <w:t xml:space="preserve"> Local Education Agency</w:t>
      </w:r>
      <w:r w:rsidRPr="0088316B">
        <w:rPr>
          <w:rFonts w:cstheme="minorHAnsi"/>
          <w:color w:val="000000"/>
          <w:sz w:val="24"/>
          <w:szCs w:val="24"/>
        </w:rPr>
        <w:t xml:space="preserve"> </w:t>
      </w:r>
      <w:r>
        <w:rPr>
          <w:rFonts w:cstheme="minorHAnsi"/>
          <w:color w:val="000000"/>
          <w:sz w:val="24"/>
          <w:szCs w:val="24"/>
        </w:rPr>
        <w:t xml:space="preserve">(LEA) </w:t>
      </w:r>
      <w:r w:rsidRPr="0088316B">
        <w:rPr>
          <w:rFonts w:cstheme="minorHAnsi"/>
          <w:color w:val="000000"/>
          <w:sz w:val="24"/>
          <w:szCs w:val="24"/>
        </w:rPr>
        <w:t xml:space="preserve">hereby assures that, </w:t>
      </w:r>
      <w:r>
        <w:rPr>
          <w:rFonts w:cstheme="minorHAnsi"/>
          <w:color w:val="000000"/>
          <w:sz w:val="24"/>
          <w:szCs w:val="24"/>
        </w:rPr>
        <w:t xml:space="preserve">it will </w:t>
      </w:r>
      <w:r w:rsidRPr="0088316B">
        <w:rPr>
          <w:rFonts w:cstheme="minorHAnsi"/>
          <w:color w:val="000000"/>
          <w:sz w:val="24"/>
          <w:szCs w:val="24"/>
        </w:rPr>
        <w:t xml:space="preserve">comply with the following </w:t>
      </w:r>
      <w:r>
        <w:rPr>
          <w:rFonts w:cstheme="minorHAnsi"/>
          <w:color w:val="000000"/>
          <w:sz w:val="24"/>
          <w:szCs w:val="24"/>
        </w:rPr>
        <w:t>requirements, as applicable, to the submitted project. (</w:t>
      </w:r>
      <w:r w:rsidRPr="00770CF3">
        <w:rPr>
          <w:rFonts w:cstheme="minorHAnsi"/>
          <w:i/>
          <w:iCs/>
          <w:color w:val="000000"/>
          <w:sz w:val="24"/>
          <w:szCs w:val="24"/>
        </w:rPr>
        <w:t>In order for the project to be approved, all assurances must be checked and certified.</w:t>
      </w:r>
      <w:r>
        <w:rPr>
          <w:rFonts w:cstheme="minorHAnsi"/>
          <w:i/>
          <w:iCs/>
          <w:color w:val="000000"/>
          <w:sz w:val="24"/>
          <w:szCs w:val="24"/>
        </w:rPr>
        <w:t>)</w:t>
      </w:r>
      <w:r>
        <w:rPr>
          <w:rFonts w:cstheme="minorHAnsi"/>
          <w:color w:val="000000"/>
          <w:sz w:val="24"/>
          <w:szCs w:val="24"/>
        </w:rPr>
        <w:t xml:space="preserve"> </w:t>
      </w:r>
      <w:r w:rsidRPr="0088316B">
        <w:rPr>
          <w:rFonts w:cstheme="minorHAnsi"/>
          <w:color w:val="000000"/>
          <w:sz w:val="24"/>
          <w:szCs w:val="24"/>
        </w:rPr>
        <w:t xml:space="preserve"> </w:t>
      </w:r>
    </w:p>
    <w:p w14:paraId="345DB9E7" w14:textId="77777777" w:rsidR="00DC5085" w:rsidRDefault="00DC5085" w:rsidP="008F167D">
      <w:pPr>
        <w:autoSpaceDE w:val="0"/>
        <w:autoSpaceDN w:val="0"/>
        <w:adjustRightInd w:val="0"/>
        <w:spacing w:after="0" w:line="240" w:lineRule="auto"/>
        <w:rPr>
          <w:rFonts w:cstheme="minorHAnsi"/>
          <w:color w:val="000000"/>
          <w:sz w:val="24"/>
          <w:szCs w:val="24"/>
        </w:rPr>
      </w:pPr>
    </w:p>
    <w:p w14:paraId="1010C082" w14:textId="77777777" w:rsidR="00382BFC" w:rsidRPr="0088316B" w:rsidRDefault="00382BFC" w:rsidP="008F167D">
      <w:pPr>
        <w:autoSpaceDE w:val="0"/>
        <w:autoSpaceDN w:val="0"/>
        <w:adjustRightInd w:val="0"/>
        <w:spacing w:after="0" w:line="240" w:lineRule="auto"/>
        <w:rPr>
          <w:rFonts w:cstheme="minorHAnsi"/>
          <w:color w:val="000000"/>
          <w:sz w:val="24"/>
          <w:szCs w:val="24"/>
        </w:rPr>
      </w:pPr>
    </w:p>
    <w:p w14:paraId="6DB5F24C" w14:textId="77777777" w:rsidR="00382BFC" w:rsidRPr="008C37F0" w:rsidRDefault="00382BFC" w:rsidP="00B14E0E">
      <w:pPr>
        <w:pStyle w:val="ListParagraph"/>
        <w:autoSpaceDE w:val="0"/>
        <w:autoSpaceDN w:val="0"/>
        <w:adjustRightInd w:val="0"/>
        <w:spacing w:after="0" w:line="240" w:lineRule="auto"/>
        <w:rPr>
          <w:rFonts w:cstheme="minorHAnsi"/>
          <w:b/>
          <w:bCs/>
          <w:color w:val="000000"/>
          <w:sz w:val="24"/>
          <w:szCs w:val="24"/>
        </w:rPr>
      </w:pPr>
      <w:r>
        <w:rPr>
          <w:rFonts w:cstheme="minorHAnsi"/>
          <w:b/>
          <w:bCs/>
          <w:sz w:val="24"/>
          <w:szCs w:val="24"/>
          <w:shd w:val="clear" w:color="auto" w:fill="FFFFFF"/>
        </w:rPr>
        <w:t>All construction requirements under</w:t>
      </w:r>
      <w:r w:rsidRPr="008C37F0">
        <w:rPr>
          <w:rFonts w:cstheme="minorHAnsi"/>
          <w:b/>
          <w:bCs/>
          <w:sz w:val="24"/>
          <w:szCs w:val="24"/>
          <w:shd w:val="clear" w:color="auto" w:fill="FFFFFF"/>
        </w:rPr>
        <w:t xml:space="preserve"> </w:t>
      </w:r>
      <w:r>
        <w:rPr>
          <w:rFonts w:cstheme="minorHAnsi"/>
          <w:b/>
          <w:bCs/>
          <w:sz w:val="24"/>
          <w:szCs w:val="24"/>
          <w:shd w:val="clear" w:color="auto" w:fill="FFFFFF"/>
        </w:rPr>
        <w:t>EDGAR, including:</w:t>
      </w:r>
    </w:p>
    <w:p w14:paraId="781D3ADA"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w:t>
      </w:r>
      <w:r>
        <w:rPr>
          <w:rFonts w:cstheme="minorHAnsi"/>
          <w:sz w:val="24"/>
          <w:szCs w:val="24"/>
          <w:shd w:val="clear" w:color="auto" w:fill="FFFFFF"/>
        </w:rPr>
        <w:t>6</w:t>
      </w:r>
      <w:r w:rsidRPr="008C37F0">
        <w:rPr>
          <w:rFonts w:cstheme="minorHAnsi"/>
          <w:sz w:val="24"/>
          <w:szCs w:val="24"/>
          <w:shd w:val="clear" w:color="auto" w:fill="FFFFFF"/>
        </w:rPr>
        <w:t>.60</w:t>
      </w:r>
      <w:r>
        <w:rPr>
          <w:rFonts w:cstheme="minorHAnsi"/>
          <w:sz w:val="24"/>
          <w:szCs w:val="24"/>
          <w:shd w:val="clear" w:color="auto" w:fill="FFFFFF"/>
        </w:rPr>
        <w:t>0</w:t>
      </w:r>
      <w:r w:rsidRPr="008C37F0">
        <w:rPr>
          <w:rFonts w:cstheme="minorHAnsi"/>
          <w:sz w:val="24"/>
          <w:szCs w:val="24"/>
          <w:shd w:val="clear" w:color="auto" w:fill="FFFFFF"/>
        </w:rPr>
        <w:t>   </w:t>
      </w:r>
      <w:r>
        <w:rPr>
          <w:rFonts w:cstheme="minorHAnsi"/>
          <w:sz w:val="24"/>
          <w:szCs w:val="24"/>
          <w:shd w:val="clear" w:color="auto" w:fill="FFFFFF"/>
        </w:rPr>
        <w:t>Where to find construction regulations.</w:t>
      </w:r>
    </w:p>
    <w:p w14:paraId="1467B71B"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w:t>
      </w:r>
      <w:r>
        <w:rPr>
          <w:rFonts w:cstheme="minorHAnsi"/>
          <w:sz w:val="24"/>
          <w:szCs w:val="24"/>
          <w:shd w:val="clear" w:color="auto" w:fill="FFFFFF"/>
        </w:rPr>
        <w:t>0</w:t>
      </w:r>
      <w:r w:rsidRPr="008C37F0">
        <w:rPr>
          <w:rFonts w:cstheme="minorHAnsi"/>
          <w:sz w:val="24"/>
          <w:szCs w:val="24"/>
          <w:shd w:val="clear" w:color="auto" w:fill="FFFFFF"/>
        </w:rPr>
        <w:t>   </w:t>
      </w:r>
      <w:r>
        <w:rPr>
          <w:rFonts w:cstheme="minorHAnsi"/>
          <w:sz w:val="24"/>
          <w:szCs w:val="24"/>
          <w:shd w:val="clear" w:color="auto" w:fill="FFFFFF"/>
        </w:rPr>
        <w:t xml:space="preserve">Use of a grant for construction: Purpose of </w:t>
      </w:r>
      <w:r w:rsidRPr="00A17307">
        <w:rPr>
          <w:rFonts w:cstheme="minorHAnsi"/>
          <w:sz w:val="24"/>
          <w:szCs w:val="24"/>
          <w:shd w:val="clear" w:color="auto" w:fill="FFFFFF"/>
        </w:rPr>
        <w:t>§§75.601-75.615.</w:t>
      </w:r>
    </w:p>
    <w:p w14:paraId="69E84EAA"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§75.601   Applicant's assessment of environmental impact.</w:t>
      </w:r>
    </w:p>
    <w:p w14:paraId="101EB105"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§75.602   Preservation of historic sites must be described in the application.</w:t>
      </w:r>
    </w:p>
    <w:p w14:paraId="0479B774"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§75.603   Grantee's title to site.</w:t>
      </w:r>
    </w:p>
    <w:p w14:paraId="4C7F9E2E"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§75.604   Availability of cost-sharing funds.</w:t>
      </w:r>
    </w:p>
    <w:p w14:paraId="56E417A9"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§75.605   Beginning the construction.</w:t>
      </w:r>
    </w:p>
    <w:p w14:paraId="076C9D24"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§75.606   Completing the construction.</w:t>
      </w:r>
    </w:p>
    <w:p w14:paraId="6CD53362"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§75.607   General considerations in designing facilities and carrying out    construction.</w:t>
      </w:r>
    </w:p>
    <w:p w14:paraId="4A21377A"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§75.608   Areas in the facilities for cultural activities.</w:t>
      </w:r>
    </w:p>
    <w:p w14:paraId="775A2D57"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§75.609   Comply with safety and health standards.</w:t>
      </w:r>
    </w:p>
    <w:p w14:paraId="598A63A1"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§75.610   Access by the handicapped.</w:t>
      </w:r>
    </w:p>
    <w:p w14:paraId="2D1D0F9A"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§75.611   Avoidance of flood hazards.</w:t>
      </w:r>
    </w:p>
    <w:p w14:paraId="4EEC40F0"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§75.612   Supervision and inspection by the grantee.</w:t>
      </w:r>
    </w:p>
    <w:p w14:paraId="588427A7"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§75.613   Relocation assistance by the grantee.</w:t>
      </w:r>
    </w:p>
    <w:p w14:paraId="60F22428"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§75.614   Grantee must have operational funds.</w:t>
      </w:r>
    </w:p>
    <w:p w14:paraId="4462015A"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§75.615   Operation and maintenance by the grantee.</w:t>
      </w:r>
    </w:p>
    <w:p w14:paraId="7EDAA5F8" w14:textId="77777777" w:rsidR="00382BFC" w:rsidRPr="008C37F0"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§75.616   Energy conservation.</w:t>
      </w:r>
    </w:p>
    <w:p w14:paraId="251E17DA" w14:textId="77777777" w:rsidR="00382BFC" w:rsidRPr="002F1402" w:rsidRDefault="00382BFC" w:rsidP="00640BBD">
      <w:pPr>
        <w:pStyle w:val="ListParagraph"/>
        <w:numPr>
          <w:ilvl w:val="1"/>
          <w:numId w:val="8"/>
        </w:numPr>
        <w:autoSpaceDE w:val="0"/>
        <w:autoSpaceDN w:val="0"/>
        <w:adjustRightInd w:val="0"/>
        <w:spacing w:after="0" w:line="240" w:lineRule="auto"/>
        <w:rPr>
          <w:rFonts w:cstheme="minorHAnsi"/>
          <w:color w:val="000000"/>
          <w:sz w:val="24"/>
          <w:szCs w:val="24"/>
        </w:rPr>
      </w:pPr>
      <w:r w:rsidRPr="008C37F0">
        <w:rPr>
          <w:rFonts w:cstheme="minorHAnsi"/>
          <w:sz w:val="24"/>
          <w:szCs w:val="24"/>
          <w:shd w:val="clear" w:color="auto" w:fill="FFFFFF"/>
        </w:rPr>
        <w:t>§75.617   Compliance with the Coastal Barrier Resources Act.</w:t>
      </w:r>
    </w:p>
    <w:p w14:paraId="159AC6AF" w14:textId="77777777" w:rsidR="00DC5085" w:rsidRDefault="00DC5085" w:rsidP="00DC5085">
      <w:pPr>
        <w:rPr>
          <w:rFonts w:cstheme="minorHAnsi"/>
          <w:b/>
          <w:bCs/>
          <w:sz w:val="24"/>
          <w:szCs w:val="24"/>
          <w:shd w:val="clear" w:color="auto" w:fill="FFFFFF"/>
        </w:rPr>
      </w:pPr>
    </w:p>
    <w:p w14:paraId="36F9F208" w14:textId="77777777" w:rsidR="00DC5085" w:rsidRDefault="00DC5085">
      <w:pPr>
        <w:rPr>
          <w:rFonts w:cstheme="minorHAnsi"/>
          <w:b/>
          <w:bCs/>
          <w:sz w:val="24"/>
          <w:szCs w:val="24"/>
          <w:shd w:val="clear" w:color="auto" w:fill="FFFFFF"/>
        </w:rPr>
      </w:pPr>
      <w:r>
        <w:rPr>
          <w:rFonts w:cstheme="minorHAnsi"/>
          <w:b/>
          <w:bCs/>
          <w:sz w:val="24"/>
          <w:szCs w:val="24"/>
          <w:shd w:val="clear" w:color="auto" w:fill="FFFFFF"/>
        </w:rPr>
        <w:br w:type="page"/>
      </w:r>
    </w:p>
    <w:p w14:paraId="5BFB6EA2" w14:textId="77777777" w:rsidR="00DC5085" w:rsidRDefault="00DC5085" w:rsidP="00DC5085">
      <w:pPr>
        <w:rPr>
          <w:rFonts w:cstheme="minorHAnsi"/>
          <w:b/>
          <w:bCs/>
          <w:sz w:val="24"/>
          <w:szCs w:val="24"/>
          <w:shd w:val="clear" w:color="auto" w:fill="FFFFFF"/>
        </w:rPr>
      </w:pPr>
    </w:p>
    <w:p w14:paraId="3DAEF072" w14:textId="0AB1A45E" w:rsidR="00382BFC" w:rsidRPr="00DC5085" w:rsidRDefault="00382BFC" w:rsidP="00B14E0E">
      <w:pPr>
        <w:ind w:firstLine="720"/>
        <w:rPr>
          <w:rFonts w:cstheme="minorHAnsi"/>
          <w:b/>
          <w:bCs/>
          <w:sz w:val="24"/>
          <w:szCs w:val="24"/>
          <w:shd w:val="clear" w:color="auto" w:fill="FFFFFF"/>
        </w:rPr>
      </w:pPr>
      <w:r w:rsidRPr="002F1402">
        <w:rPr>
          <w:rFonts w:cstheme="minorHAnsi"/>
          <w:b/>
          <w:bCs/>
          <w:sz w:val="24"/>
          <w:szCs w:val="24"/>
          <w:shd w:val="clear" w:color="auto" w:fill="FFFFFF"/>
        </w:rPr>
        <w:t>Applicable Uniform Guidance allowability requirements, including:</w:t>
      </w:r>
    </w:p>
    <w:p w14:paraId="7B4B24A5" w14:textId="77777777" w:rsidR="00382BFC" w:rsidRPr="002F1402"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§200.318   General procurement standards.</w:t>
      </w:r>
    </w:p>
    <w:p w14:paraId="0CC9C8FA" w14:textId="77777777" w:rsidR="00382BFC" w:rsidRPr="002F1402"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§200.319   Competition.</w:t>
      </w:r>
    </w:p>
    <w:p w14:paraId="342FDC30" w14:textId="77777777" w:rsidR="00382BFC" w:rsidRPr="002F1402"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§200.320   Methods of procurement to be followed.</w:t>
      </w:r>
    </w:p>
    <w:p w14:paraId="2B1EEE36" w14:textId="77777777" w:rsidR="00382BFC"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w:t>
      </w:r>
      <w:r w:rsidRPr="002F1402">
        <w:rPr>
          <w:rFonts w:cstheme="minorHAnsi"/>
          <w:color w:val="000000"/>
          <w:sz w:val="24"/>
          <w:szCs w:val="24"/>
        </w:rPr>
        <w:t>200.321 – Contracting with small and minority businesses,</w:t>
      </w:r>
      <w:r>
        <w:rPr>
          <w:rFonts w:cstheme="minorHAnsi"/>
          <w:color w:val="000000"/>
          <w:sz w:val="24"/>
          <w:szCs w:val="24"/>
        </w:rPr>
        <w:t xml:space="preserve"> </w:t>
      </w:r>
      <w:r w:rsidRPr="002F1402">
        <w:rPr>
          <w:rFonts w:cstheme="minorHAnsi"/>
          <w:color w:val="000000"/>
          <w:sz w:val="24"/>
          <w:szCs w:val="24"/>
        </w:rPr>
        <w:t>women's business enterprises, and labor surplus area firms</w:t>
      </w:r>
    </w:p>
    <w:p w14:paraId="5CA5601D" w14:textId="77777777" w:rsidR="00382BFC"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w:t>
      </w:r>
      <w:r w:rsidRPr="002F1402">
        <w:rPr>
          <w:rFonts w:cstheme="minorHAnsi"/>
          <w:color w:val="000000"/>
          <w:sz w:val="24"/>
          <w:szCs w:val="24"/>
        </w:rPr>
        <w:t>200.322 – Domestic preference for procurements</w:t>
      </w:r>
    </w:p>
    <w:p w14:paraId="4F6511D9" w14:textId="77777777" w:rsidR="00382BFC"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w:t>
      </w:r>
      <w:r w:rsidRPr="002F1402">
        <w:rPr>
          <w:rFonts w:cstheme="minorHAnsi"/>
          <w:color w:val="000000"/>
          <w:sz w:val="24"/>
          <w:szCs w:val="24"/>
        </w:rPr>
        <w:t>200.324 – Contract cost and price</w:t>
      </w:r>
    </w:p>
    <w:p w14:paraId="736A9F73" w14:textId="77777777" w:rsidR="00382BFC"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w:t>
      </w:r>
      <w:r w:rsidRPr="002F1402">
        <w:rPr>
          <w:rFonts w:cstheme="minorHAnsi"/>
          <w:color w:val="000000"/>
          <w:sz w:val="24"/>
          <w:szCs w:val="24"/>
        </w:rPr>
        <w:t>200.325 – Federal awarding agency or pass-through entity review</w:t>
      </w:r>
    </w:p>
    <w:p w14:paraId="5C73F503" w14:textId="77777777" w:rsidR="00382BFC"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w:t>
      </w:r>
      <w:r w:rsidRPr="002F1402">
        <w:rPr>
          <w:rFonts w:cstheme="minorHAnsi"/>
          <w:color w:val="000000"/>
          <w:sz w:val="24"/>
          <w:szCs w:val="24"/>
        </w:rPr>
        <w:t>200.326 – Bonding requirements</w:t>
      </w:r>
    </w:p>
    <w:p w14:paraId="678B6634" w14:textId="77777777" w:rsidR="00382BFC"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w:t>
      </w:r>
      <w:r w:rsidRPr="002F1402">
        <w:rPr>
          <w:rFonts w:cstheme="minorHAnsi"/>
          <w:color w:val="000000"/>
          <w:sz w:val="24"/>
          <w:szCs w:val="24"/>
        </w:rPr>
        <w:t>200.327 – Contract provisions</w:t>
      </w:r>
    </w:p>
    <w:p w14:paraId="69DCCB3B" w14:textId="77777777" w:rsidR="00382BFC"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w:t>
      </w:r>
      <w:r w:rsidRPr="002F1402">
        <w:rPr>
          <w:rFonts w:cstheme="minorHAnsi"/>
          <w:color w:val="000000"/>
          <w:sz w:val="24"/>
          <w:szCs w:val="24"/>
        </w:rPr>
        <w:t>200.329(d) – Construction performance reports</w:t>
      </w:r>
    </w:p>
    <w:p w14:paraId="566D7751" w14:textId="77777777" w:rsidR="00382BFC" w:rsidRPr="002F1402"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§200.439   Equipment and other capital expenditures.</w:t>
      </w:r>
    </w:p>
    <w:p w14:paraId="408732F2" w14:textId="77777777" w:rsidR="00382BFC" w:rsidRPr="002F1402"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§200.452   Maintenance and repair costs.</w:t>
      </w:r>
    </w:p>
    <w:p w14:paraId="1DBA438F" w14:textId="77777777" w:rsidR="00382BFC" w:rsidRPr="002F1402"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§200.453   Materials and supplies costs, including costs of computing devices.</w:t>
      </w:r>
    </w:p>
    <w:p w14:paraId="0DBE9008" w14:textId="77777777" w:rsidR="00382BFC" w:rsidRPr="001F4A34" w:rsidRDefault="00382BFC" w:rsidP="00640BBD">
      <w:pPr>
        <w:pStyle w:val="ListParagraph"/>
        <w:numPr>
          <w:ilvl w:val="1"/>
          <w:numId w:val="9"/>
        </w:numPr>
        <w:autoSpaceDE w:val="0"/>
        <w:autoSpaceDN w:val="0"/>
        <w:adjustRightInd w:val="0"/>
        <w:spacing w:after="0" w:line="240" w:lineRule="auto"/>
        <w:rPr>
          <w:rFonts w:cstheme="minorHAnsi"/>
          <w:color w:val="000000"/>
          <w:sz w:val="24"/>
          <w:szCs w:val="24"/>
        </w:rPr>
      </w:pPr>
      <w:r w:rsidRPr="002F1402">
        <w:rPr>
          <w:rFonts w:cstheme="minorHAnsi"/>
          <w:sz w:val="24"/>
          <w:szCs w:val="24"/>
          <w:shd w:val="clear" w:color="auto" w:fill="FFFFFF"/>
        </w:rPr>
        <w:t>§200.465   Rental costs of real property and equipment.</w:t>
      </w:r>
    </w:p>
    <w:p w14:paraId="62A83688" w14:textId="543AA26D" w:rsidR="00382BFC" w:rsidRDefault="00382BFC" w:rsidP="008F167D">
      <w:pPr>
        <w:pStyle w:val="ListParagraph"/>
        <w:autoSpaceDE w:val="0"/>
        <w:autoSpaceDN w:val="0"/>
        <w:adjustRightInd w:val="0"/>
        <w:spacing w:after="0" w:line="240" w:lineRule="auto"/>
        <w:ind w:left="1440"/>
        <w:rPr>
          <w:rFonts w:cstheme="minorHAnsi"/>
          <w:color w:val="000000"/>
          <w:sz w:val="24"/>
          <w:szCs w:val="24"/>
        </w:rPr>
      </w:pPr>
    </w:p>
    <w:p w14:paraId="68762409" w14:textId="77777777" w:rsidR="00BE5EE9" w:rsidRPr="001F4A34" w:rsidRDefault="00BE5EE9" w:rsidP="008F167D">
      <w:pPr>
        <w:pStyle w:val="ListParagraph"/>
        <w:autoSpaceDE w:val="0"/>
        <w:autoSpaceDN w:val="0"/>
        <w:adjustRightInd w:val="0"/>
        <w:spacing w:after="0" w:line="240" w:lineRule="auto"/>
        <w:ind w:left="1440"/>
        <w:rPr>
          <w:rFonts w:cstheme="minorHAnsi"/>
          <w:color w:val="000000"/>
          <w:sz w:val="24"/>
          <w:szCs w:val="24"/>
        </w:rPr>
      </w:pPr>
    </w:p>
    <w:p w14:paraId="6A40DF03" w14:textId="77777777" w:rsidR="00382BFC" w:rsidRPr="00345FCB" w:rsidRDefault="00382BFC" w:rsidP="00B14E0E">
      <w:pPr>
        <w:pStyle w:val="ListParagraph"/>
        <w:autoSpaceDE w:val="0"/>
        <w:autoSpaceDN w:val="0"/>
        <w:adjustRightInd w:val="0"/>
        <w:spacing w:after="0" w:line="240" w:lineRule="auto"/>
        <w:rPr>
          <w:rFonts w:cstheme="minorHAnsi"/>
          <w:color w:val="000000"/>
          <w:sz w:val="24"/>
          <w:szCs w:val="24"/>
        </w:rPr>
      </w:pPr>
      <w:r>
        <w:rPr>
          <w:rFonts w:cstheme="minorHAnsi"/>
          <w:b/>
          <w:bCs/>
          <w:sz w:val="24"/>
          <w:szCs w:val="24"/>
          <w:shd w:val="clear" w:color="auto" w:fill="FFFFFF"/>
        </w:rPr>
        <w:t xml:space="preserve">Appendix II to Part 200 - </w:t>
      </w:r>
      <w:r w:rsidRPr="001F4A34">
        <w:rPr>
          <w:rFonts w:cstheme="minorHAnsi"/>
          <w:b/>
          <w:bCs/>
          <w:sz w:val="24"/>
          <w:szCs w:val="24"/>
          <w:shd w:val="clear" w:color="auto" w:fill="FFFFFF"/>
        </w:rPr>
        <w:t xml:space="preserve">Contract provisions for Non-Federal Entity Contracts Under Federal Awards </w:t>
      </w:r>
    </w:p>
    <w:p w14:paraId="55B86D99" w14:textId="77777777" w:rsidR="00382BFC" w:rsidRPr="00E257D0" w:rsidRDefault="00382BFC" w:rsidP="008F167D">
      <w:pPr>
        <w:autoSpaceDE w:val="0"/>
        <w:autoSpaceDN w:val="0"/>
        <w:adjustRightInd w:val="0"/>
        <w:spacing w:after="0" w:line="240" w:lineRule="auto"/>
        <w:ind w:left="720"/>
        <w:rPr>
          <w:rFonts w:cstheme="minorHAnsi"/>
          <w:color w:val="000000"/>
          <w:sz w:val="24"/>
          <w:szCs w:val="24"/>
        </w:rPr>
      </w:pPr>
      <w:r w:rsidRPr="00E257D0">
        <w:rPr>
          <w:rFonts w:cstheme="minorHAnsi"/>
          <w:color w:val="000000"/>
          <w:sz w:val="24"/>
          <w:szCs w:val="24"/>
        </w:rPr>
        <w:t>All contracts made by the non-Federal entity under the Federal award must contain provision covering the following:</w:t>
      </w:r>
    </w:p>
    <w:p w14:paraId="1F517BEC"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Pr>
          <w:rFonts w:cstheme="minorHAnsi"/>
          <w:color w:val="000000"/>
          <w:sz w:val="24"/>
          <w:szCs w:val="24"/>
        </w:rPr>
        <w:t>Administrative, contractual, or legal remedies in instances where contractors violate or breach contact terms, and provide for such sanctions and penalties as appropriate (for contracts over $250,000)</w:t>
      </w:r>
    </w:p>
    <w:p w14:paraId="140BD172"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Pr>
          <w:rFonts w:cstheme="minorHAnsi"/>
          <w:color w:val="000000"/>
          <w:sz w:val="24"/>
          <w:szCs w:val="24"/>
        </w:rPr>
        <w:t>Termination for cause and for convenience (contracts over $10,000)</w:t>
      </w:r>
    </w:p>
    <w:p w14:paraId="246ECB8C"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sidRPr="00345FCB">
        <w:rPr>
          <w:rFonts w:cstheme="minorHAnsi"/>
          <w:color w:val="000000"/>
          <w:sz w:val="24"/>
          <w:szCs w:val="24"/>
        </w:rPr>
        <w:t>Equal Employment Opportunity</w:t>
      </w:r>
      <w:r w:rsidRPr="001F4A34">
        <w:rPr>
          <w:rFonts w:cstheme="minorHAnsi"/>
          <w:color w:val="000000"/>
          <w:sz w:val="24"/>
          <w:szCs w:val="24"/>
        </w:rPr>
        <w:t xml:space="preserve"> </w:t>
      </w:r>
      <w:r>
        <w:rPr>
          <w:rFonts w:cstheme="minorHAnsi"/>
          <w:color w:val="000000"/>
          <w:sz w:val="24"/>
          <w:szCs w:val="24"/>
        </w:rPr>
        <w:t>(41 CFR Part 60)</w:t>
      </w:r>
    </w:p>
    <w:p w14:paraId="49837820"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sidRPr="001F4A34">
        <w:rPr>
          <w:rFonts w:cstheme="minorHAnsi"/>
          <w:color w:val="000000"/>
          <w:sz w:val="24"/>
          <w:szCs w:val="24"/>
        </w:rPr>
        <w:t>Davis-Bacon Act, as amended (40 U.S.C. 3141-3148)</w:t>
      </w:r>
    </w:p>
    <w:p w14:paraId="53A43B4A"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sidRPr="001F4A34">
        <w:rPr>
          <w:rFonts w:cstheme="minorHAnsi"/>
          <w:color w:val="000000"/>
          <w:sz w:val="24"/>
          <w:szCs w:val="24"/>
        </w:rPr>
        <w:t>Contract Work Hours and Safety Standards Act (40 U.S.C. 3701-3708)</w:t>
      </w:r>
    </w:p>
    <w:p w14:paraId="5E8373A7"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sidRPr="001F4A34">
        <w:rPr>
          <w:rFonts w:cstheme="minorHAnsi"/>
          <w:color w:val="000000"/>
          <w:sz w:val="24"/>
          <w:szCs w:val="24"/>
        </w:rPr>
        <w:t>Rights to Inventions Made Under a Contract or Agreement</w:t>
      </w:r>
    </w:p>
    <w:p w14:paraId="73F8AB7A"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sidRPr="001F4A34">
        <w:rPr>
          <w:rFonts w:cstheme="minorHAnsi"/>
          <w:color w:val="000000"/>
          <w:sz w:val="24"/>
          <w:szCs w:val="24"/>
        </w:rPr>
        <w:t>Clean Air Act (42 U.S.C. 7401-7671q.) and the Federal Water Pollution</w:t>
      </w:r>
      <w:r>
        <w:rPr>
          <w:rFonts w:cstheme="minorHAnsi"/>
          <w:color w:val="000000"/>
          <w:sz w:val="24"/>
          <w:szCs w:val="24"/>
        </w:rPr>
        <w:t xml:space="preserve"> </w:t>
      </w:r>
      <w:r w:rsidRPr="001F4A34">
        <w:rPr>
          <w:rFonts w:cstheme="minorHAnsi"/>
          <w:color w:val="000000"/>
          <w:sz w:val="24"/>
          <w:szCs w:val="24"/>
        </w:rPr>
        <w:t>Control Act (33 U.S.C. 1251-1387), as amended</w:t>
      </w:r>
    </w:p>
    <w:p w14:paraId="25D7510C"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sidRPr="001F4A34">
        <w:rPr>
          <w:rFonts w:cstheme="minorHAnsi"/>
          <w:color w:val="000000"/>
          <w:sz w:val="24"/>
          <w:szCs w:val="24"/>
        </w:rPr>
        <w:t>Debarment and Suspension (Executive Orders 12549 and 12689)</w:t>
      </w:r>
    </w:p>
    <w:p w14:paraId="504CF839" w14:textId="77777777" w:rsidR="00382BFC" w:rsidRDefault="00382BFC" w:rsidP="00640BBD">
      <w:pPr>
        <w:pStyle w:val="ListParagraph"/>
        <w:numPr>
          <w:ilvl w:val="1"/>
          <w:numId w:val="10"/>
        </w:numPr>
        <w:autoSpaceDE w:val="0"/>
        <w:autoSpaceDN w:val="0"/>
        <w:adjustRightInd w:val="0"/>
        <w:spacing w:after="0" w:line="240" w:lineRule="auto"/>
        <w:rPr>
          <w:rFonts w:cstheme="minorHAnsi"/>
          <w:color w:val="000000"/>
          <w:sz w:val="24"/>
          <w:szCs w:val="24"/>
        </w:rPr>
      </w:pPr>
      <w:r w:rsidRPr="001F4A34">
        <w:rPr>
          <w:rFonts w:cstheme="minorHAnsi"/>
          <w:color w:val="000000"/>
          <w:sz w:val="24"/>
          <w:szCs w:val="24"/>
        </w:rPr>
        <w:t>Byrd Anti-Lobbying Amendment (31 U.S.C. 1352)</w:t>
      </w:r>
    </w:p>
    <w:p w14:paraId="33DB8BC2" w14:textId="77777777" w:rsidR="00382BFC" w:rsidRDefault="00382BFC" w:rsidP="008F167D">
      <w:pPr>
        <w:pStyle w:val="ListParagraph"/>
        <w:autoSpaceDE w:val="0"/>
        <w:autoSpaceDN w:val="0"/>
        <w:adjustRightInd w:val="0"/>
        <w:spacing w:after="0" w:line="240" w:lineRule="auto"/>
        <w:ind w:left="1440"/>
        <w:rPr>
          <w:rFonts w:cstheme="minorHAnsi"/>
          <w:color w:val="000000"/>
          <w:sz w:val="24"/>
          <w:szCs w:val="24"/>
        </w:rPr>
      </w:pPr>
    </w:p>
    <w:p w14:paraId="3F1FA32E" w14:textId="77777777" w:rsidR="00BE5EE9" w:rsidRDefault="00BE5EE9">
      <w:pPr>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br w:type="page"/>
      </w:r>
    </w:p>
    <w:p w14:paraId="68D526B3" w14:textId="77777777" w:rsidR="00BE5EE9" w:rsidRDefault="00BE5EE9" w:rsidP="008F167D">
      <w:pPr>
        <w:rPr>
          <w:rFonts w:ascii="Open Sans" w:hAnsi="Open Sans" w:cs="Open Sans"/>
          <w:color w:val="000000"/>
          <w:sz w:val="21"/>
          <w:szCs w:val="21"/>
          <w:shd w:val="clear" w:color="auto" w:fill="FFFFFF"/>
        </w:rPr>
      </w:pPr>
    </w:p>
    <w:p w14:paraId="27ABA37F" w14:textId="3BC3FD31" w:rsidR="00382BFC" w:rsidRDefault="00382BFC" w:rsidP="008F167D">
      <w:pPr>
        <w:rPr>
          <w:rFonts w:cstheme="minorHAnsi"/>
          <w:color w:val="000000"/>
          <w:sz w:val="24"/>
          <w:szCs w:val="24"/>
        </w:rPr>
      </w:pPr>
      <w:r>
        <w:rPr>
          <w:rFonts w:ascii="Open Sans" w:hAnsi="Open Sans" w:cs="Open Sans"/>
          <w:color w:val="000000"/>
          <w:sz w:val="21"/>
          <w:szCs w:val="21"/>
          <w:shd w:val="clear" w:color="auto" w:fill="FFFFFF"/>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51B8CE7A" w14:textId="77777777" w:rsidR="006B36A8" w:rsidRDefault="006B36A8" w:rsidP="008F167D">
      <w:pPr>
        <w:pStyle w:val="NoSpacing"/>
        <w:rPr>
          <w:sz w:val="24"/>
          <w:szCs w:val="24"/>
        </w:rPr>
      </w:pPr>
    </w:p>
    <w:p w14:paraId="6469A2DA" w14:textId="77777777" w:rsidR="006B36A8" w:rsidRDefault="006B36A8" w:rsidP="008F167D">
      <w:pPr>
        <w:pStyle w:val="NoSpacing"/>
        <w:rPr>
          <w:sz w:val="24"/>
          <w:szCs w:val="24"/>
        </w:rPr>
      </w:pPr>
    </w:p>
    <w:p w14:paraId="7EAC18E6" w14:textId="39D6117C" w:rsidR="00382BFC" w:rsidRPr="002C6D16" w:rsidRDefault="00382BFC" w:rsidP="008F167D">
      <w:pPr>
        <w:pStyle w:val="NoSpacing"/>
        <w:rPr>
          <w:sz w:val="24"/>
          <w:szCs w:val="24"/>
        </w:rPr>
      </w:pPr>
      <w:r w:rsidRPr="002C6D16">
        <w:rPr>
          <w:sz w:val="24"/>
          <w:szCs w:val="24"/>
        </w:rPr>
        <w:t>___________________________________________</w:t>
      </w:r>
      <w:r>
        <w:rPr>
          <w:sz w:val="24"/>
          <w:szCs w:val="24"/>
        </w:rPr>
        <w:t>_____________</w:t>
      </w:r>
      <w:r w:rsidRPr="002C6D16">
        <w:rPr>
          <w:sz w:val="24"/>
          <w:szCs w:val="24"/>
        </w:rPr>
        <w:t>___</w:t>
      </w:r>
    </w:p>
    <w:p w14:paraId="2B4420A0" w14:textId="77777777" w:rsidR="00382BFC" w:rsidRPr="002C6D16" w:rsidRDefault="00382BFC" w:rsidP="008F167D">
      <w:pPr>
        <w:pStyle w:val="NoSpacing"/>
        <w:rPr>
          <w:sz w:val="24"/>
          <w:szCs w:val="24"/>
        </w:rPr>
      </w:pPr>
      <w:r>
        <w:rPr>
          <w:sz w:val="24"/>
          <w:szCs w:val="24"/>
        </w:rPr>
        <w:t xml:space="preserve">Printed Name and Title </w:t>
      </w:r>
      <w:r w:rsidRPr="002C6D16">
        <w:rPr>
          <w:sz w:val="24"/>
          <w:szCs w:val="24"/>
        </w:rPr>
        <w:t xml:space="preserve">of </w:t>
      </w:r>
      <w:r>
        <w:rPr>
          <w:sz w:val="24"/>
          <w:szCs w:val="24"/>
        </w:rPr>
        <w:t xml:space="preserve">District </w:t>
      </w:r>
      <w:r w:rsidRPr="002C6D16">
        <w:rPr>
          <w:sz w:val="24"/>
          <w:szCs w:val="24"/>
        </w:rPr>
        <w:t xml:space="preserve">Superintendent / </w:t>
      </w:r>
      <w:proofErr w:type="gramStart"/>
      <w:r w:rsidRPr="002C6D16">
        <w:rPr>
          <w:sz w:val="24"/>
          <w:szCs w:val="24"/>
        </w:rPr>
        <w:t>Other</w:t>
      </w:r>
      <w:proofErr w:type="gramEnd"/>
      <w:r w:rsidRPr="002C6D16">
        <w:rPr>
          <w:sz w:val="24"/>
          <w:szCs w:val="24"/>
        </w:rPr>
        <w:t xml:space="preserve"> Representative</w:t>
      </w:r>
    </w:p>
    <w:p w14:paraId="6FA45158" w14:textId="77777777" w:rsidR="00382BFC" w:rsidRDefault="00382BFC" w:rsidP="008F167D">
      <w:pPr>
        <w:rPr>
          <w:rFonts w:cstheme="minorHAnsi"/>
          <w:color w:val="000000"/>
          <w:sz w:val="24"/>
          <w:szCs w:val="24"/>
        </w:rPr>
      </w:pPr>
    </w:p>
    <w:p w14:paraId="0DD19827" w14:textId="77777777" w:rsidR="00382BFC" w:rsidRDefault="00382BFC" w:rsidP="008F167D">
      <w:pPr>
        <w:rPr>
          <w:rFonts w:cstheme="minorHAnsi"/>
          <w:color w:val="000000"/>
          <w:sz w:val="24"/>
          <w:szCs w:val="24"/>
        </w:rPr>
      </w:pPr>
    </w:p>
    <w:p w14:paraId="3CC6DB52" w14:textId="77777777" w:rsidR="00382BFC" w:rsidRPr="002C6D16" w:rsidRDefault="00382BFC" w:rsidP="008F167D">
      <w:pPr>
        <w:pStyle w:val="NoSpacing"/>
        <w:rPr>
          <w:sz w:val="24"/>
          <w:szCs w:val="24"/>
        </w:rPr>
      </w:pPr>
      <w:r w:rsidRPr="002C6D16">
        <w:rPr>
          <w:sz w:val="24"/>
          <w:szCs w:val="24"/>
        </w:rPr>
        <w:t>___________________________________________</w:t>
      </w:r>
      <w:r>
        <w:rPr>
          <w:sz w:val="24"/>
          <w:szCs w:val="24"/>
        </w:rPr>
        <w:t>_____________</w:t>
      </w:r>
      <w:r w:rsidRPr="002C6D16">
        <w:rPr>
          <w:sz w:val="24"/>
          <w:szCs w:val="24"/>
        </w:rPr>
        <w:t>___</w:t>
      </w:r>
    </w:p>
    <w:p w14:paraId="33D8B9BF" w14:textId="0F352489" w:rsidR="00382BFC" w:rsidRDefault="00382BFC" w:rsidP="008F167D">
      <w:pPr>
        <w:pStyle w:val="NoSpacing"/>
        <w:rPr>
          <w:sz w:val="24"/>
          <w:szCs w:val="24"/>
        </w:rPr>
      </w:pPr>
      <w:r w:rsidRPr="002C6D16">
        <w:rPr>
          <w:sz w:val="24"/>
          <w:szCs w:val="24"/>
        </w:rPr>
        <w:t xml:space="preserve">Signature of </w:t>
      </w:r>
      <w:r>
        <w:rPr>
          <w:sz w:val="24"/>
          <w:szCs w:val="24"/>
        </w:rPr>
        <w:t xml:space="preserve">District </w:t>
      </w:r>
      <w:r w:rsidRPr="002C6D16">
        <w:rPr>
          <w:sz w:val="24"/>
          <w:szCs w:val="24"/>
        </w:rPr>
        <w:t>Superintendent / Other Representative</w:t>
      </w:r>
      <w:proofErr w:type="gramStart"/>
      <w:r>
        <w:rPr>
          <w:sz w:val="24"/>
          <w:szCs w:val="24"/>
        </w:rPr>
        <w:tab/>
        <w:t xml:space="preserve">  Date</w:t>
      </w:r>
      <w:proofErr w:type="gramEnd"/>
    </w:p>
    <w:p w14:paraId="04C75FF5" w14:textId="6FB8F8B7" w:rsidR="00134523" w:rsidRDefault="00134523" w:rsidP="008F167D">
      <w:pPr>
        <w:pStyle w:val="NoSpacing"/>
        <w:rPr>
          <w:sz w:val="24"/>
          <w:szCs w:val="24"/>
        </w:rPr>
      </w:pPr>
    </w:p>
    <w:p w14:paraId="262A85F5" w14:textId="4861DD0C" w:rsidR="00134523" w:rsidRDefault="00134523" w:rsidP="008F167D">
      <w:pPr>
        <w:pStyle w:val="NoSpacing"/>
        <w:rPr>
          <w:sz w:val="24"/>
          <w:szCs w:val="24"/>
        </w:rPr>
      </w:pPr>
    </w:p>
    <w:p w14:paraId="6D69F56A" w14:textId="14F8DE78" w:rsidR="00134523" w:rsidRDefault="00134523" w:rsidP="008F167D">
      <w:pPr>
        <w:pStyle w:val="NoSpacing"/>
        <w:rPr>
          <w:sz w:val="24"/>
          <w:szCs w:val="24"/>
        </w:rPr>
      </w:pPr>
    </w:p>
    <w:p w14:paraId="2A7B57EB" w14:textId="58E8A04C" w:rsidR="00134523" w:rsidRDefault="00134523" w:rsidP="008F167D">
      <w:pPr>
        <w:pStyle w:val="NoSpacing"/>
        <w:rPr>
          <w:sz w:val="24"/>
          <w:szCs w:val="24"/>
        </w:rPr>
      </w:pPr>
    </w:p>
    <w:p w14:paraId="6F5A59D9" w14:textId="77777777" w:rsidR="00134523" w:rsidRDefault="00134523" w:rsidP="008F167D">
      <w:pPr>
        <w:pStyle w:val="NoSpacing"/>
        <w:rPr>
          <w:sz w:val="24"/>
          <w:szCs w:val="24"/>
        </w:rPr>
      </w:pPr>
    </w:p>
    <w:sectPr w:rsidR="00134523" w:rsidSect="00ED1A75">
      <w:headerReference w:type="default" r:id="rId11"/>
      <w:footerReference w:type="default" r:id="rId12"/>
      <w:pgSz w:w="12240" w:h="15840"/>
      <w:pgMar w:top="1084"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4E976" w14:textId="77777777" w:rsidR="00E13581" w:rsidRDefault="00E13581" w:rsidP="001F45EF">
      <w:pPr>
        <w:spacing w:after="0" w:line="240" w:lineRule="auto"/>
      </w:pPr>
      <w:r>
        <w:separator/>
      </w:r>
    </w:p>
  </w:endnote>
  <w:endnote w:type="continuationSeparator" w:id="0">
    <w:p w14:paraId="23F017AD" w14:textId="77777777" w:rsidR="00E13581" w:rsidRDefault="00E13581" w:rsidP="001F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A0FF" w14:textId="21DE1575" w:rsidR="00E53D8B" w:rsidRDefault="00E53D8B" w:rsidP="00E53D8B">
    <w:pPr>
      <w:pStyle w:val="Footer"/>
      <w:jc w:val="center"/>
      <w:rPr>
        <w:noProof/>
      </w:rP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382BFC">
      <w:rPr>
        <w:noProof/>
      </w:rPr>
      <w:t>8</w:t>
    </w:r>
  </w:p>
  <w:p w14:paraId="6857DD07" w14:textId="34B7F29E" w:rsidR="00E53D8B" w:rsidRPr="00E53D8B" w:rsidRDefault="001C33FE" w:rsidP="00E53D8B">
    <w:pPr>
      <w:pStyle w:val="Footer"/>
      <w:tabs>
        <w:tab w:val="clear" w:pos="9360"/>
        <w:tab w:val="right" w:pos="10620"/>
      </w:tabs>
      <w:ind w:right="-720" w:hanging="1080"/>
      <w:jc w:val="center"/>
      <w:rPr>
        <w:rFonts w:ascii="Open Sans Light" w:hAnsi="Open Sans Light" w:cs="Open Sans Light"/>
        <w:color w:val="005587"/>
        <w:sz w:val="20"/>
        <w:szCs w:val="20"/>
      </w:rPr>
    </w:pPr>
    <w:r>
      <w:rPr>
        <w:rFonts w:ascii="Open Sans Light" w:hAnsi="Open Sans Light" w:cs="Open Sans Light"/>
        <w:i/>
        <w:color w:val="005587"/>
        <w:sz w:val="20"/>
        <w:szCs w:val="20"/>
      </w:rPr>
      <w:t xml:space="preserve">  </w:t>
    </w:r>
    <w:r w:rsidR="00E53D8B" w:rsidRPr="0078430E">
      <w:rPr>
        <w:rFonts w:ascii="Open Sans Light" w:hAnsi="Open Sans Light" w:cs="Open Sans Light"/>
        <w:i/>
        <w:color w:val="005587"/>
        <w:sz w:val="20"/>
        <w:szCs w:val="20"/>
      </w:rPr>
      <w:t>Kansas leads the world in the success of each student</w:t>
    </w:r>
    <w:r w:rsidR="00E53D8B" w:rsidRPr="0078430E">
      <w:rPr>
        <w:rFonts w:ascii="Open Sans Light" w:hAnsi="Open Sans Light" w:cs="Open Sans Light"/>
        <w:color w:val="005587"/>
        <w:sz w:val="20"/>
        <w:szCs w:val="20"/>
      </w:rPr>
      <w:tab/>
      <w:t xml:space="preserve">     </w:t>
    </w:r>
    <w:r w:rsidR="00E53D8B">
      <w:rPr>
        <w:rFonts w:ascii="Open Sans Light" w:hAnsi="Open Sans Light" w:cs="Open Sans Light"/>
        <w:color w:val="005587"/>
        <w:sz w:val="20"/>
        <w:szCs w:val="20"/>
      </w:rPr>
      <w:t xml:space="preserve">                                               </w:t>
    </w:r>
    <w:r w:rsidR="00E53D8B" w:rsidRPr="0078430E">
      <w:rPr>
        <w:rFonts w:ascii="Open Sans Light" w:hAnsi="Open Sans Light" w:cs="Open Sans Light"/>
        <w:color w:val="005587"/>
        <w:sz w:val="20"/>
        <w:szCs w:val="20"/>
      </w:rPr>
      <w:t xml:space="preserve">    </w:t>
    </w:r>
    <w:r w:rsidR="00E53D8B">
      <w:rPr>
        <w:rFonts w:ascii="Open Sans Light" w:hAnsi="Open Sans Light" w:cs="Open Sans Light"/>
        <w:color w:val="005587"/>
        <w:sz w:val="20"/>
        <w:szCs w:val="20"/>
      </w:rPr>
      <w:tab/>
    </w:r>
    <w:r w:rsidR="00E53D8B" w:rsidRPr="0078430E">
      <w:rPr>
        <w:rFonts w:ascii="Open Sans Light" w:hAnsi="Open Sans Light" w:cs="Open Sans Light"/>
        <w:color w:val="005587"/>
        <w:sz w:val="20"/>
        <w:szCs w:val="20"/>
      </w:rPr>
      <w:t xml:space="preserve"> </w:t>
    </w:r>
    <w:r w:rsidR="00BA5173">
      <w:rPr>
        <w:rFonts w:ascii="Open Sans Light" w:hAnsi="Open Sans Light" w:cs="Open Sans Light"/>
        <w:color w:val="005587"/>
        <w:sz w:val="20"/>
        <w:szCs w:val="20"/>
      </w:rPr>
      <w:t xml:space="preserve">May </w:t>
    </w:r>
    <w:r w:rsidR="00382BFC">
      <w:rPr>
        <w:rFonts w:ascii="Open Sans Light" w:hAnsi="Open Sans Light" w:cs="Open Sans Light"/>
        <w:color w:val="005587"/>
        <w:sz w:val="20"/>
        <w:szCs w:val="20"/>
      </w:rPr>
      <w:t>2</w:t>
    </w:r>
    <w:r w:rsidR="00BA5173">
      <w:rPr>
        <w:rFonts w:ascii="Open Sans Light" w:hAnsi="Open Sans Light" w:cs="Open Sans Light"/>
        <w:color w:val="005587"/>
        <w:sz w:val="20"/>
        <w:szCs w:val="20"/>
      </w:rPr>
      <w:t>5</w:t>
    </w:r>
    <w:r w:rsidR="00E53D8B">
      <w:rPr>
        <w:rFonts w:ascii="Open Sans Light" w:hAnsi="Open Sans Light" w:cs="Open Sans Light"/>
        <w:color w:val="005587"/>
        <w:sz w:val="20"/>
        <w:szCs w:val="20"/>
      </w:rPr>
      <w:t>, 202</w:t>
    </w:r>
    <w:r w:rsidR="00BA5173">
      <w:rPr>
        <w:rFonts w:ascii="Open Sans Light" w:hAnsi="Open Sans Light" w:cs="Open Sans Light"/>
        <w:color w:val="005587"/>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575A7" w14:textId="77777777" w:rsidR="00E13581" w:rsidRDefault="00E13581" w:rsidP="001F45EF">
      <w:pPr>
        <w:spacing w:after="0" w:line="240" w:lineRule="auto"/>
      </w:pPr>
      <w:r>
        <w:separator/>
      </w:r>
    </w:p>
  </w:footnote>
  <w:footnote w:type="continuationSeparator" w:id="0">
    <w:p w14:paraId="261BD175" w14:textId="77777777" w:rsidR="00E13581" w:rsidRDefault="00E13581" w:rsidP="001F45EF">
      <w:pPr>
        <w:spacing w:after="0" w:line="240" w:lineRule="auto"/>
      </w:pPr>
      <w:r>
        <w:continuationSeparator/>
      </w:r>
    </w:p>
  </w:footnote>
  <w:footnote w:id="1">
    <w:p w14:paraId="5E19F5E5" w14:textId="77777777" w:rsidR="00382BFC" w:rsidRDefault="00382BFC">
      <w:pPr>
        <w:pStyle w:val="FootnoteText"/>
      </w:pPr>
      <w:r>
        <w:rPr>
          <w:rStyle w:val="FootnoteReference"/>
        </w:rPr>
        <w:footnoteRef/>
      </w:r>
      <w:r>
        <w:t xml:space="preserve"> </w:t>
      </w:r>
      <w:hyperlink r:id="rId1" w:history="1">
        <w:r w:rsidRPr="00897A15">
          <w:rPr>
            <w:rStyle w:val="Hyperlink"/>
          </w:rPr>
          <w:t>https://www2.ed.gov/policy/fund/reg/edgar</w:t>
        </w:r>
        <w:r w:rsidRPr="00897A15">
          <w:rPr>
            <w:rStyle w:val="Hyperlink"/>
          </w:rPr>
          <w:t>R</w:t>
        </w:r>
        <w:r w:rsidRPr="00897A15">
          <w:rPr>
            <w:rStyle w:val="Hyperlink"/>
          </w:rPr>
          <w:t>eg/edgar.html</w:t>
        </w:r>
      </w:hyperlink>
      <w:r>
        <w:t xml:space="preserve"> </w:t>
      </w:r>
    </w:p>
  </w:footnote>
  <w:footnote w:id="2">
    <w:p w14:paraId="24FB4402" w14:textId="77777777" w:rsidR="00382BFC" w:rsidRDefault="00382BFC">
      <w:pPr>
        <w:pStyle w:val="FootnoteText"/>
      </w:pPr>
      <w:r>
        <w:rPr>
          <w:rStyle w:val="FootnoteReference"/>
        </w:rPr>
        <w:footnoteRef/>
      </w:r>
      <w:r>
        <w:t xml:space="preserve"> </w:t>
      </w:r>
      <w:hyperlink r:id="rId2" w:history="1">
        <w:r w:rsidRPr="009B28FD">
          <w:rPr>
            <w:rStyle w:val="Hyperlink"/>
            <w:rFonts w:cstheme="minorHAnsi"/>
          </w:rPr>
          <w:t>https://www.ecfr.gov/cgi-bin/text-idx?SID=316c298931aa086111ea79b002976f07&amp;mc=true&amp;node=pt2.1.200&amp;rgn=div5</w:t>
        </w:r>
      </w:hyperlink>
      <w:r>
        <w:t xml:space="preserve"> </w:t>
      </w:r>
    </w:p>
  </w:footnote>
  <w:footnote w:id="3">
    <w:p w14:paraId="629B6E0A" w14:textId="77777777" w:rsidR="00EB3550" w:rsidRDefault="00EB3550">
      <w:pPr>
        <w:pStyle w:val="FootnoteText"/>
      </w:pPr>
      <w:r>
        <w:rPr>
          <w:rStyle w:val="FootnoteReference"/>
        </w:rPr>
        <w:footnoteRef/>
      </w:r>
      <w:r>
        <w:t xml:space="preserve"> </w:t>
      </w:r>
      <w:hyperlink r:id="rId3" w:anchor=":~:text=The%20stated%20purposes%20of%20NEPA,enrich%20the%20understanding%20of%20the" w:history="1">
        <w:r w:rsidRPr="00567E46">
          <w:rPr>
            <w:rStyle w:val="Hyperlink"/>
          </w:rPr>
          <w:t>https://www.energy.gov/nepa/downloads/national-environmental-policy-act-1969#:~:text=The%20stated%20purposes%20of%20NEPA,enrich%20the%20understanding%20of%20the</w:t>
        </w:r>
      </w:hyperlink>
      <w:r>
        <w:t xml:space="preserve"> </w:t>
      </w:r>
    </w:p>
  </w:footnote>
  <w:footnote w:id="4">
    <w:p w14:paraId="7FD95550" w14:textId="77777777" w:rsidR="00EB3550" w:rsidRDefault="00EB3550">
      <w:pPr>
        <w:pStyle w:val="FootnoteText"/>
      </w:pPr>
      <w:r>
        <w:rPr>
          <w:rStyle w:val="FootnoteReference"/>
        </w:rPr>
        <w:footnoteRef/>
      </w:r>
      <w:r>
        <w:t xml:space="preserve"> </w:t>
      </w:r>
      <w:hyperlink r:id="rId4" w:history="1">
        <w:r w:rsidRPr="00567E46">
          <w:rPr>
            <w:rStyle w:val="Hyperlink"/>
          </w:rPr>
          <w:t>https://www.archives.gov/federal-register/codification/executive-order/11514.html</w:t>
        </w:r>
      </w:hyperlink>
      <w:r>
        <w:t xml:space="preserve"> </w:t>
      </w:r>
    </w:p>
  </w:footnote>
  <w:footnote w:id="5">
    <w:p w14:paraId="4FAADC8A" w14:textId="77777777" w:rsidR="00EB3550" w:rsidRDefault="00EB3550">
      <w:pPr>
        <w:pStyle w:val="FootnoteText"/>
      </w:pPr>
      <w:r>
        <w:rPr>
          <w:rStyle w:val="FootnoteReference"/>
        </w:rPr>
        <w:footnoteRef/>
      </w:r>
      <w:r>
        <w:t xml:space="preserve"> </w:t>
      </w:r>
      <w:hyperlink r:id="rId5" w:history="1">
        <w:r w:rsidRPr="00567E46">
          <w:rPr>
            <w:rStyle w:val="Hyperlink"/>
          </w:rPr>
          <w:t>https://www.achp.gov/sites/default/files/regulations/2017-02/regs-rev04.pdf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8FF5" w14:textId="20F31282" w:rsidR="001F45EF" w:rsidRDefault="006D07FF">
    <w:pPr>
      <w:pStyle w:val="Header"/>
    </w:pPr>
    <w:r>
      <w:rPr>
        <w:noProof/>
      </w:rPr>
      <mc:AlternateContent>
        <mc:Choice Requires="wps">
          <w:drawing>
            <wp:anchor distT="45720" distB="45720" distL="114300" distR="114300" simplePos="0" relativeHeight="251659264" behindDoc="0" locked="0" layoutInCell="1" allowOverlap="1" wp14:anchorId="2819C837" wp14:editId="0C9BCF67">
              <wp:simplePos x="0" y="0"/>
              <wp:positionH relativeFrom="column">
                <wp:posOffset>2512695</wp:posOffset>
              </wp:positionH>
              <wp:positionV relativeFrom="paragraph">
                <wp:posOffset>298450</wp:posOffset>
              </wp:positionV>
              <wp:extent cx="4610735" cy="8496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735" cy="849630"/>
                      </a:xfrm>
                      <a:prstGeom prst="rect">
                        <a:avLst/>
                      </a:prstGeom>
                      <a:solidFill>
                        <a:srgbClr val="FFFFFF"/>
                      </a:solidFill>
                      <a:ln w="9525">
                        <a:noFill/>
                        <a:miter lim="800000"/>
                        <a:headEnd/>
                        <a:tailEnd/>
                      </a:ln>
                    </wps:spPr>
                    <wps:txbx>
                      <w:txbxContent>
                        <w:p w14:paraId="127DBE56" w14:textId="4ED36AE5" w:rsidR="006D07FF" w:rsidRDefault="006D07FF" w:rsidP="006D07FF">
                          <w:pPr>
                            <w:pStyle w:val="Heading2"/>
                            <w:jc w:val="center"/>
                            <w:rPr>
                              <w:b/>
                              <w:bCs/>
                              <w:sz w:val="40"/>
                              <w:szCs w:val="40"/>
                            </w:rPr>
                          </w:pPr>
                          <w:r w:rsidRPr="006D07FF">
                            <w:rPr>
                              <w:b/>
                              <w:bCs/>
                              <w:sz w:val="40"/>
                              <w:szCs w:val="40"/>
                            </w:rPr>
                            <w:t>Construction</w:t>
                          </w:r>
                          <w:r w:rsidR="00ED1A75">
                            <w:rPr>
                              <w:b/>
                              <w:bCs/>
                              <w:sz w:val="40"/>
                              <w:szCs w:val="40"/>
                            </w:rPr>
                            <w:t xml:space="preserve"> and C</w:t>
                          </w:r>
                          <w:r w:rsidRPr="006D07FF">
                            <w:rPr>
                              <w:b/>
                              <w:bCs/>
                              <w:sz w:val="40"/>
                              <w:szCs w:val="40"/>
                            </w:rPr>
                            <w:t>apital Expenditure</w:t>
                          </w:r>
                        </w:p>
                        <w:p w14:paraId="36BC3F86" w14:textId="341D3175" w:rsidR="00941E4C" w:rsidRPr="00941E4C" w:rsidRDefault="006D07FF" w:rsidP="00941E4C">
                          <w:pPr>
                            <w:pStyle w:val="Heading2"/>
                            <w:jc w:val="center"/>
                            <w:rPr>
                              <w:b/>
                              <w:bCs/>
                              <w:sz w:val="40"/>
                              <w:szCs w:val="40"/>
                            </w:rPr>
                          </w:pPr>
                          <w:r w:rsidRPr="006D07FF">
                            <w:rPr>
                              <w:b/>
                              <w:bCs/>
                              <w:sz w:val="40"/>
                              <w:szCs w:val="40"/>
                            </w:rPr>
                            <w:t>Prior-Approval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9C837" id="_x0000_t202" coordsize="21600,21600" o:spt="202" path="m,l,21600r21600,l21600,xe">
              <v:stroke joinstyle="miter"/>
              <v:path gradientshapeok="t" o:connecttype="rect"/>
            </v:shapetype>
            <v:shape id="Text Box 2" o:spid="_x0000_s1026" type="#_x0000_t202" style="position:absolute;margin-left:197.85pt;margin-top:23.5pt;width:363.05pt;height:6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veIQIAAB0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" stroked="f">
              <v:textbox>
                <w:txbxContent>
                  <w:p w14:paraId="127DBE56" w14:textId="4ED36AE5" w:rsidR="006D07FF" w:rsidRDefault="006D07FF" w:rsidP="006D07FF">
                    <w:pPr>
                      <w:pStyle w:val="Heading2"/>
                      <w:jc w:val="center"/>
                      <w:rPr>
                        <w:b/>
                        <w:bCs/>
                        <w:sz w:val="40"/>
                        <w:szCs w:val="40"/>
                      </w:rPr>
                    </w:pPr>
                    <w:r w:rsidRPr="006D07FF">
                      <w:rPr>
                        <w:b/>
                        <w:bCs/>
                        <w:sz w:val="40"/>
                        <w:szCs w:val="40"/>
                      </w:rPr>
                      <w:t>Construction</w:t>
                    </w:r>
                    <w:r w:rsidR="00ED1A75">
                      <w:rPr>
                        <w:b/>
                        <w:bCs/>
                        <w:sz w:val="40"/>
                        <w:szCs w:val="40"/>
                      </w:rPr>
                      <w:t xml:space="preserve"> and C</w:t>
                    </w:r>
                    <w:r w:rsidRPr="006D07FF">
                      <w:rPr>
                        <w:b/>
                        <w:bCs/>
                        <w:sz w:val="40"/>
                        <w:szCs w:val="40"/>
                      </w:rPr>
                      <w:t>apital Expenditure</w:t>
                    </w:r>
                  </w:p>
                  <w:p w14:paraId="36BC3F86" w14:textId="341D3175" w:rsidR="00941E4C" w:rsidRPr="00941E4C" w:rsidRDefault="006D07FF" w:rsidP="00941E4C">
                    <w:pPr>
                      <w:pStyle w:val="Heading2"/>
                      <w:jc w:val="center"/>
                      <w:rPr>
                        <w:b/>
                        <w:bCs/>
                        <w:sz w:val="40"/>
                        <w:szCs w:val="40"/>
                      </w:rPr>
                    </w:pPr>
                    <w:r w:rsidRPr="006D07FF">
                      <w:rPr>
                        <w:b/>
                        <w:bCs/>
                        <w:sz w:val="40"/>
                        <w:szCs w:val="40"/>
                      </w:rPr>
                      <w:t>Prior-Approval Request Form</w:t>
                    </w:r>
                  </w:p>
                </w:txbxContent>
              </v:textbox>
              <w10:wrap type="square"/>
            </v:shape>
          </w:pict>
        </mc:Fallback>
      </mc:AlternateContent>
    </w:r>
    <w:r w:rsidR="001F45EF">
      <w:rPr>
        <w:noProof/>
      </w:rPr>
      <w:drawing>
        <wp:inline distT="0" distB="0" distL="0" distR="0" wp14:anchorId="783BF256" wp14:editId="04FDA2DF">
          <wp:extent cx="2082800" cy="1169350"/>
          <wp:effectExtent l="0" t="0" r="0" b="0"/>
          <wp:docPr id="11" name="Picture 11" descr="Logo of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Kansas State Department of Educat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2800" cy="1169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ADD"/>
    <w:multiLevelType w:val="hybridMultilevel"/>
    <w:tmpl w:val="D5EC6EEE"/>
    <w:lvl w:ilvl="0" w:tplc="46C6AA28">
      <w:start w:val="1"/>
      <w:numFmt w:val="bullet"/>
      <w:lvlText w:val=""/>
      <w:lvlJc w:val="left"/>
      <w:pPr>
        <w:ind w:left="720" w:hanging="360"/>
      </w:pPr>
      <w:rPr>
        <w:rFonts w:ascii="Symbol" w:hAnsi="Symbol" w:hint="default"/>
      </w:rPr>
    </w:lvl>
    <w:lvl w:ilvl="1" w:tplc="46C6AA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B65"/>
    <w:multiLevelType w:val="hybridMultilevel"/>
    <w:tmpl w:val="B4363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76573"/>
    <w:multiLevelType w:val="hybridMultilevel"/>
    <w:tmpl w:val="C73E080C"/>
    <w:lvl w:ilvl="0" w:tplc="E842DD0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97427"/>
    <w:multiLevelType w:val="hybridMultilevel"/>
    <w:tmpl w:val="9ACC1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2547F"/>
    <w:multiLevelType w:val="hybridMultilevel"/>
    <w:tmpl w:val="CCC06B36"/>
    <w:lvl w:ilvl="0" w:tplc="46C6AA28">
      <w:start w:val="1"/>
      <w:numFmt w:val="bullet"/>
      <w:lvlText w:val=""/>
      <w:lvlJc w:val="left"/>
      <w:pPr>
        <w:ind w:left="720" w:hanging="360"/>
      </w:pPr>
      <w:rPr>
        <w:rFonts w:ascii="Symbol" w:hAnsi="Symbol" w:hint="default"/>
      </w:rPr>
    </w:lvl>
    <w:lvl w:ilvl="1" w:tplc="46C6AA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C6499"/>
    <w:multiLevelType w:val="hybridMultilevel"/>
    <w:tmpl w:val="4AC84DD6"/>
    <w:lvl w:ilvl="0" w:tplc="46C6AA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41072"/>
    <w:multiLevelType w:val="hybridMultilevel"/>
    <w:tmpl w:val="50FE78F0"/>
    <w:lvl w:ilvl="0" w:tplc="46C6AA28">
      <w:start w:val="1"/>
      <w:numFmt w:val="bullet"/>
      <w:lvlText w:val=""/>
      <w:lvlJc w:val="left"/>
      <w:pPr>
        <w:ind w:left="720" w:hanging="360"/>
      </w:pPr>
      <w:rPr>
        <w:rFonts w:ascii="Symbol" w:hAnsi="Symbol" w:hint="default"/>
      </w:rPr>
    </w:lvl>
    <w:lvl w:ilvl="1" w:tplc="46C6AA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E2328"/>
    <w:multiLevelType w:val="hybridMultilevel"/>
    <w:tmpl w:val="D994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A645C"/>
    <w:multiLevelType w:val="hybridMultilevel"/>
    <w:tmpl w:val="E4A6391A"/>
    <w:lvl w:ilvl="0" w:tplc="B584F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A6409"/>
    <w:multiLevelType w:val="hybridMultilevel"/>
    <w:tmpl w:val="6BC4C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14511"/>
    <w:multiLevelType w:val="hybridMultilevel"/>
    <w:tmpl w:val="E4CCE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1"/>
  </w:num>
  <w:num w:numId="5">
    <w:abstractNumId w:val="5"/>
  </w:num>
  <w:num w:numId="6">
    <w:abstractNumId w:val="3"/>
  </w:num>
  <w:num w:numId="7">
    <w:abstractNumId w:val="10"/>
  </w:num>
  <w:num w:numId="8">
    <w:abstractNumId w:val="6"/>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EF"/>
    <w:rsid w:val="000214F9"/>
    <w:rsid w:val="0009153E"/>
    <w:rsid w:val="00091B57"/>
    <w:rsid w:val="000A2542"/>
    <w:rsid w:val="00103611"/>
    <w:rsid w:val="00122E9E"/>
    <w:rsid w:val="00134523"/>
    <w:rsid w:val="001828E5"/>
    <w:rsid w:val="00187039"/>
    <w:rsid w:val="001C33FE"/>
    <w:rsid w:val="001F45EF"/>
    <w:rsid w:val="00220314"/>
    <w:rsid w:val="00254C6B"/>
    <w:rsid w:val="002978E3"/>
    <w:rsid w:val="002E00FB"/>
    <w:rsid w:val="003167E7"/>
    <w:rsid w:val="00336B53"/>
    <w:rsid w:val="00382BFC"/>
    <w:rsid w:val="003879CE"/>
    <w:rsid w:val="0040146C"/>
    <w:rsid w:val="0042742D"/>
    <w:rsid w:val="0046042B"/>
    <w:rsid w:val="004E5DB3"/>
    <w:rsid w:val="00502607"/>
    <w:rsid w:val="00534E6D"/>
    <w:rsid w:val="005811EC"/>
    <w:rsid w:val="005972AE"/>
    <w:rsid w:val="005D10DE"/>
    <w:rsid w:val="005E743D"/>
    <w:rsid w:val="005F69B8"/>
    <w:rsid w:val="00621032"/>
    <w:rsid w:val="00640BBD"/>
    <w:rsid w:val="00660A82"/>
    <w:rsid w:val="00681088"/>
    <w:rsid w:val="00682CA5"/>
    <w:rsid w:val="006B36A8"/>
    <w:rsid w:val="006D07FF"/>
    <w:rsid w:val="006D41AD"/>
    <w:rsid w:val="006E39BB"/>
    <w:rsid w:val="007049BD"/>
    <w:rsid w:val="00705C08"/>
    <w:rsid w:val="00707D4F"/>
    <w:rsid w:val="00732F89"/>
    <w:rsid w:val="007847BE"/>
    <w:rsid w:val="007A53AA"/>
    <w:rsid w:val="00840998"/>
    <w:rsid w:val="008C0F6F"/>
    <w:rsid w:val="00941E4C"/>
    <w:rsid w:val="009524CA"/>
    <w:rsid w:val="00A24EE2"/>
    <w:rsid w:val="00A42B87"/>
    <w:rsid w:val="00B14E0E"/>
    <w:rsid w:val="00B15439"/>
    <w:rsid w:val="00BA5173"/>
    <w:rsid w:val="00BB5770"/>
    <w:rsid w:val="00BE5EE9"/>
    <w:rsid w:val="00C2774F"/>
    <w:rsid w:val="00C42B2B"/>
    <w:rsid w:val="00C474F9"/>
    <w:rsid w:val="00CC7363"/>
    <w:rsid w:val="00D24267"/>
    <w:rsid w:val="00DA1219"/>
    <w:rsid w:val="00DC5085"/>
    <w:rsid w:val="00DF58B0"/>
    <w:rsid w:val="00E13581"/>
    <w:rsid w:val="00E15338"/>
    <w:rsid w:val="00E169A8"/>
    <w:rsid w:val="00E53D8B"/>
    <w:rsid w:val="00EB3550"/>
    <w:rsid w:val="00ED1A75"/>
    <w:rsid w:val="00EE398C"/>
    <w:rsid w:val="00FA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76AEA628"/>
  <w15:chartTrackingRefBased/>
  <w15:docId w15:val="{F678B73E-16C3-4D7C-B2F1-6A8A9501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4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5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45E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F4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5EF"/>
  </w:style>
  <w:style w:type="paragraph" w:styleId="Footer">
    <w:name w:val="footer"/>
    <w:basedOn w:val="Normal"/>
    <w:link w:val="FooterChar"/>
    <w:uiPriority w:val="99"/>
    <w:unhideWhenUsed/>
    <w:rsid w:val="001F4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5EF"/>
  </w:style>
  <w:style w:type="character" w:styleId="Hyperlink">
    <w:name w:val="Hyperlink"/>
    <w:basedOn w:val="DefaultParagraphFont"/>
    <w:uiPriority w:val="99"/>
    <w:unhideWhenUsed/>
    <w:rsid w:val="001F45EF"/>
    <w:rPr>
      <w:color w:val="0563C1" w:themeColor="hyperlink"/>
      <w:u w:val="single"/>
    </w:rPr>
  </w:style>
  <w:style w:type="paragraph" w:styleId="NoSpacing">
    <w:name w:val="No Spacing"/>
    <w:uiPriority w:val="1"/>
    <w:qFormat/>
    <w:rsid w:val="001F45EF"/>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DA1219"/>
    <w:rPr>
      <w:color w:val="605E5C"/>
      <w:shd w:val="clear" w:color="auto" w:fill="E1DFDD"/>
    </w:rPr>
  </w:style>
  <w:style w:type="character" w:styleId="UnresolvedMention">
    <w:name w:val="Unresolved Mention"/>
    <w:basedOn w:val="DefaultParagraphFont"/>
    <w:uiPriority w:val="99"/>
    <w:semiHidden/>
    <w:unhideWhenUsed/>
    <w:rsid w:val="00E53D8B"/>
    <w:rPr>
      <w:color w:val="605E5C"/>
      <w:shd w:val="clear" w:color="auto" w:fill="E1DFDD"/>
    </w:rPr>
  </w:style>
  <w:style w:type="paragraph" w:styleId="ListParagraph">
    <w:name w:val="List Paragraph"/>
    <w:basedOn w:val="Normal"/>
    <w:uiPriority w:val="34"/>
    <w:qFormat/>
    <w:rsid w:val="00E169A8"/>
    <w:pPr>
      <w:ind w:left="720"/>
      <w:contextualSpacing/>
    </w:pPr>
  </w:style>
  <w:style w:type="paragraph" w:styleId="BalloonText">
    <w:name w:val="Balloon Text"/>
    <w:basedOn w:val="Normal"/>
    <w:link w:val="BalloonTextChar"/>
    <w:uiPriority w:val="99"/>
    <w:semiHidden/>
    <w:unhideWhenUsed/>
    <w:rsid w:val="00A24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EE2"/>
    <w:rPr>
      <w:rFonts w:ascii="Segoe UI" w:hAnsi="Segoe UI" w:cs="Segoe UI"/>
      <w:sz w:val="18"/>
      <w:szCs w:val="18"/>
    </w:rPr>
  </w:style>
  <w:style w:type="paragraph" w:customStyle="1" w:styleId="CM6">
    <w:name w:val="CM6"/>
    <w:basedOn w:val="Normal"/>
    <w:next w:val="Normal"/>
    <w:uiPriority w:val="99"/>
    <w:rsid w:val="00382BFC"/>
    <w:pPr>
      <w:autoSpaceDE w:val="0"/>
      <w:autoSpaceDN w:val="0"/>
      <w:adjustRightInd w:val="0"/>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382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BFC"/>
    <w:rPr>
      <w:sz w:val="20"/>
      <w:szCs w:val="20"/>
    </w:rPr>
  </w:style>
  <w:style w:type="character" w:styleId="FootnoteReference">
    <w:name w:val="footnote reference"/>
    <w:basedOn w:val="DefaultParagraphFont"/>
    <w:uiPriority w:val="99"/>
    <w:semiHidden/>
    <w:unhideWhenUsed/>
    <w:rsid w:val="00382BFC"/>
    <w:rPr>
      <w:vertAlign w:val="superscript"/>
    </w:rPr>
  </w:style>
  <w:style w:type="paragraph" w:styleId="NormalWeb">
    <w:name w:val="Normal (Web)"/>
    <w:basedOn w:val="Normal"/>
    <w:uiPriority w:val="99"/>
    <w:unhideWhenUsed/>
    <w:rsid w:val="00382B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82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2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ER@KSD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SER@KSDE.ORG" TargetMode="External"/><Relationship Id="rId4" Type="http://schemas.openxmlformats.org/officeDocument/2006/relationships/settings" Target="settings.xml"/><Relationship Id="rId9" Type="http://schemas.openxmlformats.org/officeDocument/2006/relationships/hyperlink" Target="https://www.ksde.org/Agency/Division-of-Learning-Services/Special-Education-and-Title-Services/Federal-Disaster-and-Pandemic-Relie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gov/nepa/downloads/national-environmental-policy-act-1969" TargetMode="External"/><Relationship Id="rId2" Type="http://schemas.openxmlformats.org/officeDocument/2006/relationships/hyperlink" Target="https://www.ecfr.gov/cgi-bin/text-idx?SID=316c298931aa086111ea79b002976f07&amp;mc=true&amp;node=pt2.1.200&amp;rgn=div5" TargetMode="External"/><Relationship Id="rId1" Type="http://schemas.openxmlformats.org/officeDocument/2006/relationships/hyperlink" Target="https://www2.ed.gov/policy/fund/reg/edgarReg/edgar.html" TargetMode="External"/><Relationship Id="rId5" Type="http://schemas.openxmlformats.org/officeDocument/2006/relationships/hyperlink" Target="https://www.achp.gov/sites/default/files/regulations/2017-02/regs-rev04.pdf" TargetMode="External"/><Relationship Id="rId4" Type="http://schemas.openxmlformats.org/officeDocument/2006/relationships/hyperlink" Target="https://www.archives.gov/federal-register/codification/executive-order/115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4FF7-55C8-438A-BBE8-D8CB4E95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Schwartz</dc:creator>
  <cp:keywords/>
  <dc:description/>
  <cp:lastModifiedBy>Dean Zajic</cp:lastModifiedBy>
  <cp:revision>2</cp:revision>
  <cp:lastPrinted>2021-05-05T19:28:00Z</cp:lastPrinted>
  <dcterms:created xsi:type="dcterms:W3CDTF">2021-05-26T05:29:00Z</dcterms:created>
  <dcterms:modified xsi:type="dcterms:W3CDTF">2021-05-26T05:29:00Z</dcterms:modified>
</cp:coreProperties>
</file>