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76" w:rsidRPr="00110A76" w:rsidRDefault="00110A76" w:rsidP="00110A76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40"/>
        </w:rPr>
      </w:pPr>
      <w:r w:rsidRPr="00110A76">
        <w:rPr>
          <w:rFonts w:ascii="Arial" w:hAnsi="Arial" w:cs="Arial"/>
          <w:b/>
          <w:bCs/>
          <w:sz w:val="28"/>
          <w:szCs w:val="40"/>
        </w:rPr>
        <w:t>2nd Grade Standards-Based Holistic Rubric</w:t>
      </w:r>
    </w:p>
    <w:p w:rsidR="00110A76" w:rsidRPr="00D93E92" w:rsidRDefault="00110A76" w:rsidP="00110A7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D93E92">
        <w:rPr>
          <w:rFonts w:cs="ArialMT"/>
        </w:rPr>
        <w:t xml:space="preserve">NOTE: This device reflects the outcomes included in the following </w:t>
      </w:r>
      <w:r>
        <w:rPr>
          <w:rFonts w:cs="Arial-BoldMT"/>
          <w:b/>
          <w:bCs/>
        </w:rPr>
        <w:t>brief d</w:t>
      </w:r>
      <w:r w:rsidRPr="00D93E92">
        <w:rPr>
          <w:rFonts w:cs="Arial-BoldMT"/>
          <w:b/>
          <w:bCs/>
        </w:rPr>
        <w:t xml:space="preserve">escription of a unit plan.  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110A76">
        <w:rPr>
          <w:rFonts w:cs="Arial-BoldMT"/>
          <w:b/>
          <w:bCs/>
        </w:rPr>
        <w:t>Short description of unit: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Students collaboratively examine and respond to a diverse selection of self-portraits.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Students select from a variety of provided materials and tools to create a self-portrait that communicates personal interests.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Students present their art works and discuss why they are meaningful to them.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Students group the self-portraits based on identified similarities and share reasons for the groupings.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110A76">
        <w:rPr>
          <w:rFonts w:cs="ArialMT"/>
          <w:b/>
        </w:rPr>
        <w:t>Possible instructional steps for unit: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110A76">
        <w:rPr>
          <w:rFonts w:cs="Arial-BoldMT"/>
          <w:b/>
          <w:bCs/>
        </w:rPr>
        <w:t>Responding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1. Teacher provides a diverse selection of artworks that represents different times and places for student viewing and discusses subject matter with students.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2. Students identify portraits and/or self-portraits in the artworks.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3. Students examine and respond to examples of portraits and identify characteristics.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4. Students differentiate between portraits and self-portraits.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5. Students compare and contrast and discuss how art can reflect artists’ personal experiences or interests.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110A76">
        <w:rPr>
          <w:rFonts w:cs="Arial-BoldMT"/>
          <w:b/>
          <w:bCs/>
        </w:rPr>
        <w:t>Creating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1. Students collaboratively brainstorm multiple approaches to creating a self-portrait.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2. Teacher provides a variety of materials with which students will create their own self portrait.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3. Students select from provided materials to create a self-portrait.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4. Students create a self-portrait that visually communicates something about the student’s personal experiences and/or interests.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110A76">
        <w:rPr>
          <w:rFonts w:cs="Arial-BoldMT"/>
          <w:b/>
          <w:bCs/>
        </w:rPr>
        <w:t>Presenting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1. Students examine the student created self-portraits, discuss the visual traits, and identify similarities that might result in groups.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2. Students group artwork according to these similarities and share their reasons for placing them in a particular group.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110A76">
        <w:rPr>
          <w:rFonts w:cs="Arial-BoldMT"/>
          <w:b/>
          <w:bCs/>
        </w:rPr>
        <w:t>Connecting</w:t>
      </w:r>
    </w:p>
    <w:p w:rsidR="00B3130C" w:rsidRPr="00110A76" w:rsidRDefault="00B3130C" w:rsidP="00B3130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1. Students present artwork and explain why it is meaningful to them.</w:t>
      </w:r>
    </w:p>
    <w:p w:rsidR="00C97F34" w:rsidRDefault="00B3130C" w:rsidP="00631AA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2. Students provide and receive feedback about their artwork.</w:t>
      </w:r>
    </w:p>
    <w:p w:rsidR="00171E53" w:rsidRPr="00631AA1" w:rsidRDefault="00171E53" w:rsidP="00631AA1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</w:p>
    <w:p w:rsidR="00631AA1" w:rsidRDefault="00014452" w:rsidP="00631AA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1E53">
        <w:rPr>
          <w:rFonts w:cs="ArialMT"/>
        </w:rPr>
        <w:t xml:space="preserve">NOTE: </w:t>
      </w:r>
      <w:r w:rsidR="00631AA1" w:rsidRPr="00171E53">
        <w:rPr>
          <w:rFonts w:cs="Arial"/>
        </w:rPr>
        <w:t>This rubric measures the degree to which the performance stand</w:t>
      </w:r>
      <w:r w:rsidR="00FE4D6D">
        <w:rPr>
          <w:rFonts w:cs="Arial"/>
        </w:rPr>
        <w:t>ard</w:t>
      </w:r>
      <w:r w:rsidR="00631AA1" w:rsidRPr="00171E53">
        <w:rPr>
          <w:rFonts w:cs="Arial"/>
        </w:rPr>
        <w:t xml:space="preserve"> has been met.  Sufficient evidence is intended to indicate that a student has met the standard.  Strong evidence indicates that a student has gone above and beyond the standard.  While limited evidence indicates they have not quite met the standards, no evidence indicates </w:t>
      </w:r>
      <w:proofErr w:type="gramStart"/>
      <w:r w:rsidR="00631AA1" w:rsidRPr="00171E53">
        <w:rPr>
          <w:rFonts w:cs="Arial"/>
        </w:rPr>
        <w:t>no</w:t>
      </w:r>
      <w:proofErr w:type="gramEnd"/>
      <w:r w:rsidR="00631AA1" w:rsidRPr="00171E53">
        <w:rPr>
          <w:rFonts w:cs="Arial"/>
        </w:rPr>
        <w:t xml:space="preserve"> effort to meet the standard.  This rubric is intended to guide you in developing your own lesson or unit plan rubrics for measuring student achievement.  You are encouraged to re-word these qualifies to align with your lesson or unit.</w:t>
      </w:r>
    </w:p>
    <w:p w:rsidR="00171E53" w:rsidRPr="00171E53" w:rsidRDefault="00171E53" w:rsidP="00631AA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bookmarkEnd w:id="0"/>
    </w:p>
    <w:p w:rsidR="00014452" w:rsidRPr="00110A76" w:rsidRDefault="00014452" w:rsidP="00631AA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2nd Grade Standards-Based Holistic Rubric</w:t>
      </w:r>
    </w:p>
    <w:p w:rsidR="00014452" w:rsidRDefault="00014452" w:rsidP="0001445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Student Name ________________________________________ Dat</w:t>
      </w:r>
      <w:r w:rsidR="00631AA1">
        <w:rPr>
          <w:rFonts w:cs="ArialMT"/>
        </w:rPr>
        <w:t>e ___________________________</w:t>
      </w:r>
    </w:p>
    <w:p w:rsidR="00823475" w:rsidRPr="00DE419C" w:rsidRDefault="00823475" w:rsidP="0001445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2448"/>
        <w:gridCol w:w="2880"/>
        <w:gridCol w:w="2700"/>
        <w:gridCol w:w="2700"/>
        <w:gridCol w:w="2700"/>
      </w:tblGrid>
      <w:tr w:rsidR="00823475" w:rsidRPr="00DE419C" w:rsidTr="00DE419C">
        <w:tc>
          <w:tcPr>
            <w:tcW w:w="2448" w:type="dxa"/>
          </w:tcPr>
          <w:p w:rsidR="00823475" w:rsidRPr="00DE419C" w:rsidRDefault="00823475" w:rsidP="0082347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DE419C">
              <w:rPr>
                <w:rFonts w:cs="Arial-BoldMT"/>
                <w:b/>
                <w:bCs/>
                <w:sz w:val="20"/>
                <w:szCs w:val="20"/>
              </w:rPr>
              <w:t>Performance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DE419C">
              <w:rPr>
                <w:rFonts w:cs="Arial-BoldMT"/>
                <w:b/>
                <w:bCs/>
                <w:sz w:val="20"/>
                <w:szCs w:val="20"/>
              </w:rPr>
              <w:t>Standards:</w:t>
            </w:r>
          </w:p>
        </w:tc>
        <w:tc>
          <w:tcPr>
            <w:tcW w:w="2880" w:type="dxa"/>
          </w:tcPr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DE419C">
              <w:rPr>
                <w:rFonts w:cs="Arial-BoldMT"/>
                <w:b/>
                <w:bCs/>
                <w:sz w:val="20"/>
                <w:szCs w:val="20"/>
              </w:rPr>
              <w:t>No evidence</w:t>
            </w:r>
          </w:p>
        </w:tc>
        <w:tc>
          <w:tcPr>
            <w:tcW w:w="2700" w:type="dxa"/>
          </w:tcPr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DE419C">
              <w:rPr>
                <w:rFonts w:cs="Arial-BoldMT"/>
                <w:b/>
                <w:bCs/>
                <w:sz w:val="20"/>
                <w:szCs w:val="20"/>
              </w:rPr>
              <w:t>Limited evidence</w:t>
            </w:r>
          </w:p>
        </w:tc>
        <w:tc>
          <w:tcPr>
            <w:tcW w:w="2700" w:type="dxa"/>
          </w:tcPr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DE419C">
              <w:rPr>
                <w:rFonts w:cs="Arial-BoldMT"/>
                <w:b/>
                <w:bCs/>
                <w:sz w:val="20"/>
                <w:szCs w:val="20"/>
              </w:rPr>
              <w:t>Sufficient evidence</w:t>
            </w:r>
          </w:p>
        </w:tc>
        <w:tc>
          <w:tcPr>
            <w:tcW w:w="2700" w:type="dxa"/>
          </w:tcPr>
          <w:p w:rsidR="00823475" w:rsidRPr="00DE419C" w:rsidRDefault="00823475" w:rsidP="0082347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DE419C">
              <w:rPr>
                <w:rFonts w:cs="Arial-BoldMT"/>
                <w:b/>
                <w:bCs/>
                <w:sz w:val="20"/>
                <w:szCs w:val="20"/>
              </w:rPr>
              <w:t>Strong evidence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</w:tr>
      <w:tr w:rsidR="00823475" w:rsidRPr="00DE419C" w:rsidTr="00DE419C">
        <w:tc>
          <w:tcPr>
            <w:tcW w:w="2448" w:type="dxa"/>
          </w:tcPr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DE419C">
              <w:rPr>
                <w:rFonts w:cs="Arial-BoldMT"/>
                <w:b/>
                <w:bCs/>
                <w:sz w:val="20"/>
                <w:szCs w:val="20"/>
              </w:rPr>
              <w:t>Creating</w:t>
            </w:r>
          </w:p>
        </w:tc>
        <w:tc>
          <w:tcPr>
            <w:tcW w:w="2880" w:type="dxa"/>
          </w:tcPr>
          <w:p w:rsidR="00823475" w:rsidRPr="00DE419C" w:rsidRDefault="00823475" w:rsidP="00823475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823475" w:rsidRPr="00DE419C" w:rsidRDefault="00823475" w:rsidP="00823475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823475" w:rsidRPr="00DE419C" w:rsidRDefault="00823475" w:rsidP="00823475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823475" w:rsidRPr="00DE419C" w:rsidRDefault="00823475" w:rsidP="00823475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</w:tr>
      <w:tr w:rsidR="00823475" w:rsidRPr="00DE419C" w:rsidTr="00DE419C">
        <w:tc>
          <w:tcPr>
            <w:tcW w:w="2448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Collaboratively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brainstorm multiple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approaches to an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art or design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problem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Offers no ways for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approaching an art problem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that addresses personal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interests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Offers one way for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approaching an art problem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that addresses personal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interests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Offers more than one way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for approaching an art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problem that addresses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personal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interests.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Offers multiple ways for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approaching an art problem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that addresses personal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interests and provides</w:t>
            </w:r>
          </w:p>
          <w:p w:rsidR="00823475" w:rsidRPr="00DE419C" w:rsidRDefault="00AF22BC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rationale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for choosing one to</w:t>
            </w:r>
            <w:r w:rsidR="004D1AFA" w:rsidRPr="00DE419C">
              <w:rPr>
                <w:rFonts w:cs="ArialMT"/>
                <w:sz w:val="20"/>
                <w:szCs w:val="20"/>
              </w:rPr>
              <w:t xml:space="preserve"> </w:t>
            </w:r>
            <w:r w:rsidRPr="00DE419C">
              <w:rPr>
                <w:rFonts w:cs="ArialMT"/>
                <w:sz w:val="20"/>
                <w:szCs w:val="20"/>
              </w:rPr>
              <w:t>use in creating art.</w:t>
            </w:r>
          </w:p>
        </w:tc>
      </w:tr>
      <w:tr w:rsidR="00823475" w:rsidRPr="00DE419C" w:rsidTr="00DE419C">
        <w:tc>
          <w:tcPr>
            <w:tcW w:w="2448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Experiment with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various materials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and tools to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explore personal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interests in a work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of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art or design.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Does not explore materials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and tools prior to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communicating about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personal interests through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their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art.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Explores materials and tools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and makes selections with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no apparent reason or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connection to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communicating topics of</w:t>
            </w:r>
          </w:p>
          <w:p w:rsidR="00823475" w:rsidRPr="00DE419C" w:rsidRDefault="00AF22BC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personal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interests.</w:t>
            </w:r>
          </w:p>
        </w:tc>
        <w:tc>
          <w:tcPr>
            <w:tcW w:w="270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Explores a limited range of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materials and tools and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makes selection in order to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communicate topics of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personal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interest.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Explores multiple materials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and tools and makes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purposeful selections in</w:t>
            </w:r>
          </w:p>
          <w:p w:rsidR="00823475" w:rsidRPr="00DE419C" w:rsidRDefault="00AF22BC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order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to communicate topics of personal interest.</w:t>
            </w:r>
          </w:p>
        </w:tc>
      </w:tr>
      <w:tr w:rsidR="00823475" w:rsidRPr="00DE419C" w:rsidTr="00DE419C">
        <w:tc>
          <w:tcPr>
            <w:tcW w:w="2448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Demonstrate safe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procedures for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using and cleaning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art tools and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equipment and</w:t>
            </w:r>
          </w:p>
          <w:p w:rsidR="00823475" w:rsidRPr="00DE419C" w:rsidRDefault="00AF22BC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studio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spaces.</w:t>
            </w:r>
          </w:p>
        </w:tc>
        <w:tc>
          <w:tcPr>
            <w:tcW w:w="288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Does not demonstrate safe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use and cleaning of art tools,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equipment, and studio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spaces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Rarely demonstrates safe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use and cleaning of art tools, equipment, and studio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spaces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Often demonstrates safe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use and cleaning of art tools, equipment, and studio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spaces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Consistently demonstrates safe use and cleaning of art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tools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, equipment, and studio spaces.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</w:tr>
      <w:tr w:rsidR="00823475" w:rsidRPr="00DE419C" w:rsidTr="00DE419C">
        <w:tc>
          <w:tcPr>
            <w:tcW w:w="2448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Discuss and reflect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with peers about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choices made in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creating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artwork.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Does not articulate choices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made regarding subject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matter, materials, and tools</w:t>
            </w:r>
          </w:p>
          <w:p w:rsidR="00AF22BC" w:rsidRPr="00DE419C" w:rsidRDefault="00AF22BC" w:rsidP="00AF22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in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order to make connections between these choices and personal interests.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Articulates some choices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made regarding subject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matter, materials, and tools but does not make clear connections between these choices and personal</w:t>
            </w:r>
          </w:p>
          <w:p w:rsidR="00823475" w:rsidRPr="00DE419C" w:rsidRDefault="00E3416E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interests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Articulates choices made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regarding subject matter,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materials, and tools and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explains how these selections reflect personal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interests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Articulates choices made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regarding subject matter,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materials, and tools and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thoroughly explains how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these selections reflect</w:t>
            </w:r>
          </w:p>
          <w:p w:rsidR="00E3416E" w:rsidRPr="00DE419C" w:rsidRDefault="00E3416E" w:rsidP="00E3416E">
            <w:pPr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personal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interests.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</w:tr>
      <w:tr w:rsidR="00823475" w:rsidRPr="00DE419C" w:rsidTr="00DE419C">
        <w:tc>
          <w:tcPr>
            <w:tcW w:w="2448" w:type="dxa"/>
          </w:tcPr>
          <w:p w:rsidR="00823475" w:rsidRPr="00DE419C" w:rsidRDefault="00E3416E" w:rsidP="00AF22BC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DE419C">
              <w:rPr>
                <w:rFonts w:cs="Arial-BoldMT"/>
                <w:b/>
                <w:bCs/>
                <w:sz w:val="20"/>
                <w:szCs w:val="20"/>
              </w:rPr>
              <w:t>Presenting</w:t>
            </w:r>
          </w:p>
        </w:tc>
        <w:tc>
          <w:tcPr>
            <w:tcW w:w="2880" w:type="dxa"/>
          </w:tcPr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823475" w:rsidRPr="00DE419C" w:rsidRDefault="00E3416E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823475" w:rsidRPr="00DE419C" w:rsidRDefault="00E3416E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823475" w:rsidRPr="00DE419C" w:rsidRDefault="00E3416E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823475" w:rsidRPr="00DE419C" w:rsidRDefault="00E3416E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</w:tr>
      <w:tr w:rsidR="00823475" w:rsidRPr="00DE419C" w:rsidTr="00DE419C">
        <w:tc>
          <w:tcPr>
            <w:tcW w:w="2448" w:type="dxa"/>
          </w:tcPr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lastRenderedPageBreak/>
              <w:t>Categorize artwork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based on a theme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or concept for an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exhibit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Does not categorize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artworks according to a</w:t>
            </w:r>
          </w:p>
          <w:p w:rsidR="00E3416E" w:rsidRPr="00DE419C" w:rsidRDefault="00E3416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theme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or concept.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EF502D" w:rsidRPr="00DE419C" w:rsidRDefault="00EF502D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Categorizes artworks</w:t>
            </w:r>
          </w:p>
          <w:p w:rsidR="00EF502D" w:rsidRPr="00DE419C" w:rsidRDefault="00EF502D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according to a theme or</w:t>
            </w:r>
          </w:p>
          <w:p w:rsidR="00EF502D" w:rsidRPr="00DE419C" w:rsidRDefault="00EF502D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concept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EF502D" w:rsidRPr="00DE419C" w:rsidRDefault="00EF502D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Categorizes artworks</w:t>
            </w:r>
          </w:p>
          <w:p w:rsidR="00EF502D" w:rsidRPr="00DE419C" w:rsidRDefault="00EF502D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according to a theme or</w:t>
            </w:r>
          </w:p>
          <w:p w:rsidR="00EF502D" w:rsidRPr="00DE419C" w:rsidRDefault="00EF502D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concept and provides</w:t>
            </w:r>
          </w:p>
          <w:p w:rsidR="00EF502D" w:rsidRPr="00DE419C" w:rsidRDefault="00EF502D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rationale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for grouping.</w:t>
            </w:r>
          </w:p>
          <w:p w:rsidR="00823475" w:rsidRPr="00DE419C" w:rsidRDefault="00823475" w:rsidP="0001445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EF502D" w:rsidRPr="00DE419C" w:rsidRDefault="00EF502D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Categorizes artworks</w:t>
            </w:r>
          </w:p>
          <w:p w:rsidR="00EF502D" w:rsidRPr="00DE419C" w:rsidRDefault="00EF502D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according to a theme or</w:t>
            </w:r>
          </w:p>
          <w:p w:rsidR="00EF502D" w:rsidRPr="00DE419C" w:rsidRDefault="00EF502D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concept and provides</w:t>
            </w:r>
          </w:p>
          <w:p w:rsidR="00EF502D" w:rsidRPr="00DE419C" w:rsidRDefault="00EF502D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compelling rationale for</w:t>
            </w:r>
          </w:p>
          <w:p w:rsidR="00823475" w:rsidRPr="00DE419C" w:rsidRDefault="00EF502D" w:rsidP="0001445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grouping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</w:tc>
      </w:tr>
      <w:tr w:rsidR="00AF6977" w:rsidRPr="00DE419C" w:rsidTr="00DE419C">
        <w:tc>
          <w:tcPr>
            <w:tcW w:w="2448" w:type="dxa"/>
          </w:tcPr>
          <w:p w:rsidR="00AF6977" w:rsidRPr="00DE419C" w:rsidRDefault="00AF6977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-BoldMT"/>
                <w:b/>
                <w:bCs/>
                <w:sz w:val="20"/>
                <w:szCs w:val="20"/>
              </w:rPr>
              <w:t>Responding</w:t>
            </w:r>
          </w:p>
        </w:tc>
        <w:tc>
          <w:tcPr>
            <w:tcW w:w="2880" w:type="dxa"/>
          </w:tcPr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AF6977" w:rsidRPr="00DE419C" w:rsidRDefault="00AF6977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AF6977" w:rsidRPr="00DE419C" w:rsidRDefault="00AF6977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AF6977" w:rsidRPr="00DE419C" w:rsidRDefault="00AF6977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AF6977" w:rsidRPr="00DE419C" w:rsidRDefault="00AF6977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</w:tr>
      <w:tr w:rsidR="00AF6977" w:rsidRPr="00DE419C" w:rsidTr="00DE419C">
        <w:tc>
          <w:tcPr>
            <w:tcW w:w="2448" w:type="dxa"/>
          </w:tcPr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Categorize art work</w:t>
            </w:r>
          </w:p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based on expressive</w:t>
            </w:r>
          </w:p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qualities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  <w:p w:rsidR="00AF6977" w:rsidRPr="00DE419C" w:rsidRDefault="00AF6977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2880" w:type="dxa"/>
          </w:tcPr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Does not categorize artworks according to mood or feelings.</w:t>
            </w:r>
          </w:p>
          <w:p w:rsidR="00AF6977" w:rsidRPr="00DE419C" w:rsidRDefault="00AF6977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2700" w:type="dxa"/>
          </w:tcPr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Categorizes artworks</w:t>
            </w:r>
          </w:p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according to mood or</w:t>
            </w:r>
          </w:p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feelings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  <w:p w:rsidR="00AF6977" w:rsidRPr="00DE419C" w:rsidRDefault="00AF6977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2700" w:type="dxa"/>
          </w:tcPr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Categorizes artworks</w:t>
            </w:r>
          </w:p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according to mood or</w:t>
            </w:r>
          </w:p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feelings and provides</w:t>
            </w:r>
          </w:p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rationale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for grouping.</w:t>
            </w:r>
          </w:p>
          <w:p w:rsidR="00AF6977" w:rsidRPr="00DE419C" w:rsidRDefault="00AF6977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2700" w:type="dxa"/>
          </w:tcPr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Categorizes artworks</w:t>
            </w:r>
          </w:p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according to mood or</w:t>
            </w:r>
          </w:p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feelings and provides</w:t>
            </w:r>
          </w:p>
          <w:p w:rsidR="00AF6977" w:rsidRPr="00DE419C" w:rsidRDefault="00AF6977" w:rsidP="00AF697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compelling rationale for</w:t>
            </w:r>
          </w:p>
          <w:p w:rsidR="00AF6977" w:rsidRPr="00DE419C" w:rsidRDefault="00AF6977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grouping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</w:tc>
      </w:tr>
      <w:tr w:rsidR="00AF6977" w:rsidRPr="00DE419C" w:rsidTr="00DE419C">
        <w:tc>
          <w:tcPr>
            <w:tcW w:w="2448" w:type="dxa"/>
          </w:tcPr>
          <w:p w:rsidR="00C700B7" w:rsidRPr="00DE419C" w:rsidRDefault="00C700B7" w:rsidP="00C700B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Interpret art by</w:t>
            </w:r>
          </w:p>
          <w:p w:rsidR="00C700B7" w:rsidRPr="00DE419C" w:rsidRDefault="00C700B7" w:rsidP="00C700B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identifying the mood suggested by a work of art and describing</w:t>
            </w:r>
          </w:p>
          <w:p w:rsidR="00C700B7" w:rsidRPr="00DE419C" w:rsidRDefault="00C700B7" w:rsidP="00C700B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relevant subject</w:t>
            </w:r>
          </w:p>
          <w:p w:rsidR="00C700B7" w:rsidRPr="00DE419C" w:rsidRDefault="00C700B7" w:rsidP="00C700B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matter and</w:t>
            </w:r>
          </w:p>
          <w:p w:rsidR="00AF6977" w:rsidRPr="00DE419C" w:rsidRDefault="00C700B7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characteristics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of form.</w:t>
            </w:r>
          </w:p>
        </w:tc>
        <w:tc>
          <w:tcPr>
            <w:tcW w:w="2880" w:type="dxa"/>
          </w:tcPr>
          <w:p w:rsidR="00C700B7" w:rsidRPr="00DE419C" w:rsidRDefault="00C700B7" w:rsidP="00C700B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Does not interpret the</w:t>
            </w:r>
          </w:p>
          <w:p w:rsidR="00C700B7" w:rsidRPr="00DE419C" w:rsidRDefault="00C700B7" w:rsidP="00C700B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overall mood of an artwork</w:t>
            </w:r>
          </w:p>
          <w:p w:rsidR="00C700B7" w:rsidRPr="00DE419C" w:rsidRDefault="00C700B7" w:rsidP="00C700B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and does not explain how</w:t>
            </w:r>
          </w:p>
          <w:p w:rsidR="00C700B7" w:rsidRPr="00DE419C" w:rsidRDefault="00C700B7" w:rsidP="00C700B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the artist incorporates</w:t>
            </w:r>
          </w:p>
          <w:p w:rsidR="00C700B7" w:rsidRPr="00DE419C" w:rsidRDefault="00C700B7" w:rsidP="00C700B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subject matter and other</w:t>
            </w:r>
          </w:p>
          <w:p w:rsidR="00AF6977" w:rsidRPr="00DE419C" w:rsidRDefault="00C700B7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details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to suggest the mood.</w:t>
            </w:r>
          </w:p>
        </w:tc>
        <w:tc>
          <w:tcPr>
            <w:tcW w:w="2700" w:type="dxa"/>
          </w:tcPr>
          <w:p w:rsidR="00174864" w:rsidRPr="00DE419C" w:rsidRDefault="00174864" w:rsidP="00174864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Does not make connections</w:t>
            </w:r>
          </w:p>
          <w:p w:rsidR="00174864" w:rsidRPr="00DE419C" w:rsidRDefault="00174864" w:rsidP="00174864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between subject matter,</w:t>
            </w:r>
          </w:p>
          <w:p w:rsidR="00174864" w:rsidRPr="00DE419C" w:rsidRDefault="00174864" w:rsidP="00174864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other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details, and mood.</w:t>
            </w:r>
          </w:p>
          <w:p w:rsidR="00AF6977" w:rsidRPr="00DE419C" w:rsidRDefault="00AF6977" w:rsidP="00174864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2700" w:type="dxa"/>
          </w:tcPr>
          <w:p w:rsidR="00174864" w:rsidRPr="00DE419C" w:rsidRDefault="00174864" w:rsidP="00174864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Interprets the overall mood</w:t>
            </w:r>
          </w:p>
          <w:p w:rsidR="00174864" w:rsidRPr="00DE419C" w:rsidRDefault="00174864" w:rsidP="00174864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of an artwork and makes</w:t>
            </w:r>
          </w:p>
          <w:p w:rsidR="00174864" w:rsidRPr="00DE419C" w:rsidRDefault="00174864" w:rsidP="00174864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partial connections to how</w:t>
            </w:r>
          </w:p>
          <w:p w:rsidR="00174864" w:rsidRPr="00DE419C" w:rsidRDefault="00174864" w:rsidP="00174864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the artist incorporates</w:t>
            </w:r>
          </w:p>
          <w:p w:rsidR="00174864" w:rsidRPr="00DE419C" w:rsidRDefault="00174864" w:rsidP="00174864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subject matter and other</w:t>
            </w:r>
          </w:p>
          <w:p w:rsidR="00AF6977" w:rsidRPr="00DE419C" w:rsidRDefault="00174864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details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to suggest the mood.</w:t>
            </w:r>
          </w:p>
        </w:tc>
        <w:tc>
          <w:tcPr>
            <w:tcW w:w="2700" w:type="dxa"/>
          </w:tcPr>
          <w:p w:rsidR="00AF6977" w:rsidRPr="00DE419C" w:rsidRDefault="00174864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Interprets the overall mood of an artwork and explains how the artist incorporates subject matter and other details to suggest the mood.</w:t>
            </w:r>
          </w:p>
        </w:tc>
      </w:tr>
      <w:tr w:rsidR="00AF6977" w:rsidRPr="00DE419C" w:rsidTr="00DE419C">
        <w:tc>
          <w:tcPr>
            <w:tcW w:w="2448" w:type="dxa"/>
          </w:tcPr>
          <w:p w:rsidR="00AF6977" w:rsidRPr="00DE419C" w:rsidRDefault="00F22B3F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-BoldMT"/>
                <w:b/>
                <w:bCs/>
                <w:sz w:val="20"/>
                <w:szCs w:val="20"/>
              </w:rPr>
              <w:t>Connecting</w:t>
            </w:r>
          </w:p>
        </w:tc>
        <w:tc>
          <w:tcPr>
            <w:tcW w:w="2880" w:type="dxa"/>
          </w:tcPr>
          <w:p w:rsidR="00F22B3F" w:rsidRPr="00DE419C" w:rsidRDefault="00F22B3F" w:rsidP="00F22B3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AF6977" w:rsidRPr="00DE419C" w:rsidRDefault="00F22B3F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F22B3F" w:rsidRPr="00DE419C" w:rsidRDefault="00F22B3F" w:rsidP="00F22B3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AF6977" w:rsidRPr="00DE419C" w:rsidRDefault="00F22B3F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AF6977" w:rsidRPr="00DE419C" w:rsidRDefault="004B2C5E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  <w:tc>
          <w:tcPr>
            <w:tcW w:w="2700" w:type="dxa"/>
          </w:tcPr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to which performance</w:t>
            </w:r>
          </w:p>
          <w:p w:rsidR="00AF6977" w:rsidRPr="00DE419C" w:rsidRDefault="004B2C5E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standard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has been met.</w:t>
            </w:r>
          </w:p>
        </w:tc>
      </w:tr>
      <w:tr w:rsidR="00AF6977" w:rsidRPr="00DE419C" w:rsidTr="00DE419C">
        <w:tc>
          <w:tcPr>
            <w:tcW w:w="2448" w:type="dxa"/>
          </w:tcPr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Compare and</w:t>
            </w:r>
          </w:p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contrast cultural</w:t>
            </w:r>
          </w:p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uses of artworks</w:t>
            </w:r>
          </w:p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from different times</w:t>
            </w:r>
          </w:p>
          <w:p w:rsidR="00AF6977" w:rsidRPr="00DE419C" w:rsidRDefault="004B2C5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and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places.</w:t>
            </w:r>
          </w:p>
        </w:tc>
        <w:tc>
          <w:tcPr>
            <w:tcW w:w="2880" w:type="dxa"/>
          </w:tcPr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Does not compare and</w:t>
            </w:r>
          </w:p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 xml:space="preserve">contrast details in </w:t>
            </w:r>
            <w:proofErr w:type="spellStart"/>
            <w:r w:rsidRPr="00DE419C">
              <w:rPr>
                <w:rFonts w:cs="ArialMT"/>
                <w:sz w:val="20"/>
                <w:szCs w:val="20"/>
              </w:rPr>
              <w:t>selfportraits</w:t>
            </w:r>
            <w:proofErr w:type="spellEnd"/>
            <w:r w:rsidRPr="00DE419C">
              <w:rPr>
                <w:rFonts w:cs="ArialMT"/>
                <w:sz w:val="20"/>
                <w:szCs w:val="20"/>
              </w:rPr>
              <w:t xml:space="preserve"> from different times or places and does not</w:t>
            </w:r>
          </w:p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make connections to the</w:t>
            </w:r>
          </w:p>
          <w:p w:rsidR="00AF6977" w:rsidRPr="00DE419C" w:rsidRDefault="004B2C5E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artist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and the artist’s life.</w:t>
            </w:r>
          </w:p>
        </w:tc>
        <w:tc>
          <w:tcPr>
            <w:tcW w:w="2700" w:type="dxa"/>
          </w:tcPr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Compares and contrasts</w:t>
            </w:r>
          </w:p>
          <w:p w:rsidR="00AF6977" w:rsidRPr="00DE419C" w:rsidRDefault="004B2C5E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details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in self-portraits from different times or places but does not explain how these details help reveal information about the artist and the artist’s life.</w:t>
            </w:r>
          </w:p>
        </w:tc>
        <w:tc>
          <w:tcPr>
            <w:tcW w:w="2700" w:type="dxa"/>
          </w:tcPr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Compares and contrasts</w:t>
            </w:r>
          </w:p>
          <w:p w:rsidR="00AF6977" w:rsidRPr="00DE419C" w:rsidRDefault="004B2C5E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details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in self-portraits from different times or places and explains how these details help reveal information about the artist and the artist’s life.</w:t>
            </w:r>
          </w:p>
        </w:tc>
        <w:tc>
          <w:tcPr>
            <w:tcW w:w="2700" w:type="dxa"/>
          </w:tcPr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Compares and contrasts</w:t>
            </w:r>
          </w:p>
          <w:p w:rsidR="004B2C5E" w:rsidRPr="00DE419C" w:rsidRDefault="004B2C5E" w:rsidP="004B2C5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 xml:space="preserve">multiple details in </w:t>
            </w:r>
            <w:proofErr w:type="spellStart"/>
            <w:r w:rsidRPr="00DE419C">
              <w:rPr>
                <w:rFonts w:cs="ArialMT"/>
                <w:sz w:val="20"/>
                <w:szCs w:val="20"/>
              </w:rPr>
              <w:t>selfportraits</w:t>
            </w:r>
            <w:proofErr w:type="spellEnd"/>
            <w:r w:rsidRPr="00DE419C">
              <w:rPr>
                <w:rFonts w:cs="ArialMT"/>
                <w:sz w:val="20"/>
                <w:szCs w:val="20"/>
              </w:rPr>
              <w:t xml:space="preserve"> from different times or places and explains how these details help reveal</w:t>
            </w:r>
          </w:p>
          <w:p w:rsidR="00AF6977" w:rsidRPr="00DE419C" w:rsidRDefault="004B2C5E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information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about the artist and the artist’s life.</w:t>
            </w:r>
          </w:p>
        </w:tc>
      </w:tr>
      <w:tr w:rsidR="00AF6977" w:rsidRPr="00DE419C" w:rsidTr="00DE419C">
        <w:tc>
          <w:tcPr>
            <w:tcW w:w="2448" w:type="dxa"/>
          </w:tcPr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Create works of art</w:t>
            </w:r>
          </w:p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about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events in home, school, or community life.</w:t>
            </w:r>
          </w:p>
          <w:p w:rsidR="00AF6977" w:rsidRPr="00DE419C" w:rsidRDefault="00AF6977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2880" w:type="dxa"/>
          </w:tcPr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Does not create or complete</w:t>
            </w:r>
          </w:p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 work of art that</w:t>
            </w:r>
          </w:p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communicates about</w:t>
            </w:r>
          </w:p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personal interests and/or</w:t>
            </w:r>
          </w:p>
          <w:p w:rsidR="00AF6977" w:rsidRPr="00DE419C" w:rsidRDefault="007446F8" w:rsidP="00E341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experiences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Creates a work of art, but it</w:t>
            </w:r>
          </w:p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does not communicate</w:t>
            </w:r>
          </w:p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about personal interests</w:t>
            </w:r>
          </w:p>
          <w:p w:rsidR="00AF6977" w:rsidRPr="00DE419C" w:rsidRDefault="007446F8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and/or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experiences.</w:t>
            </w:r>
          </w:p>
        </w:tc>
        <w:tc>
          <w:tcPr>
            <w:tcW w:w="2700" w:type="dxa"/>
          </w:tcPr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Creates a work of art that</w:t>
            </w:r>
          </w:p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communicates to some</w:t>
            </w:r>
          </w:p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degree about personal</w:t>
            </w:r>
          </w:p>
          <w:p w:rsidR="00AF6977" w:rsidRPr="00DE419C" w:rsidRDefault="007446F8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interests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and/or experiences.</w:t>
            </w:r>
          </w:p>
        </w:tc>
        <w:tc>
          <w:tcPr>
            <w:tcW w:w="2700" w:type="dxa"/>
          </w:tcPr>
          <w:p w:rsidR="007446F8" w:rsidRPr="00DE419C" w:rsidRDefault="007446F8" w:rsidP="007446F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E419C">
              <w:rPr>
                <w:rFonts w:cs="ArialMT"/>
                <w:sz w:val="20"/>
                <w:szCs w:val="20"/>
              </w:rPr>
              <w:t>Creates a work of art that</w:t>
            </w:r>
          </w:p>
          <w:p w:rsidR="00AF6977" w:rsidRPr="00DE419C" w:rsidRDefault="007446F8" w:rsidP="00EF50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gramStart"/>
            <w:r w:rsidRPr="00DE419C">
              <w:rPr>
                <w:rFonts w:cs="ArialMT"/>
                <w:sz w:val="20"/>
                <w:szCs w:val="20"/>
              </w:rPr>
              <w:t>clearly</w:t>
            </w:r>
            <w:proofErr w:type="gramEnd"/>
            <w:r w:rsidRPr="00DE419C">
              <w:rPr>
                <w:rFonts w:cs="ArialMT"/>
                <w:sz w:val="20"/>
                <w:szCs w:val="20"/>
              </w:rPr>
              <w:t xml:space="preserve"> communicates about personal interests and/or experiences.</w:t>
            </w:r>
          </w:p>
        </w:tc>
      </w:tr>
    </w:tbl>
    <w:p w:rsidR="00014452" w:rsidRPr="00110A76" w:rsidRDefault="00014452" w:rsidP="0001445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110A76">
        <w:rPr>
          <w:rFonts w:cs="ArialMT"/>
        </w:rPr>
        <w:t>Comments:</w:t>
      </w:r>
    </w:p>
    <w:p w:rsidR="00014452" w:rsidRPr="00110A76" w:rsidRDefault="00014452" w:rsidP="00014452">
      <w:r w:rsidRPr="00110A76">
        <w:rPr>
          <w:rFonts w:cs="ArialMT"/>
        </w:rPr>
        <w:t>_____________________________________________________________________________________________________________________</w:t>
      </w:r>
    </w:p>
    <w:sectPr w:rsidR="00014452" w:rsidRPr="00110A76" w:rsidSect="0082347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AB" w:rsidRDefault="00D74DAB" w:rsidP="00546FB6">
      <w:pPr>
        <w:spacing w:after="0" w:line="240" w:lineRule="auto"/>
      </w:pPr>
      <w:r>
        <w:separator/>
      </w:r>
    </w:p>
  </w:endnote>
  <w:endnote w:type="continuationSeparator" w:id="0">
    <w:p w:rsidR="00D74DAB" w:rsidRDefault="00D74DAB" w:rsidP="0054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B6" w:rsidRDefault="00546FB6" w:rsidP="00546FB6">
    <w:pPr>
      <w:rPr>
        <w:sz w:val="16"/>
      </w:rPr>
    </w:pPr>
    <w:r>
      <w:rPr>
        <w:sz w:val="16"/>
      </w:rPr>
      <w:t>Adapted from the National Core Arts Standards © 2014 National Coalition for Core Arts Standards. Rights administered by the State Education Agency Directors of Arts Education. Dover, DE. www.nationalartsstandards.org      All rights reserved.</w:t>
    </w:r>
  </w:p>
  <w:p w:rsidR="00546FB6" w:rsidRDefault="00546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AB" w:rsidRDefault="00D74DAB" w:rsidP="00546FB6">
      <w:pPr>
        <w:spacing w:after="0" w:line="240" w:lineRule="auto"/>
      </w:pPr>
      <w:r>
        <w:separator/>
      </w:r>
    </w:p>
  </w:footnote>
  <w:footnote w:type="continuationSeparator" w:id="0">
    <w:p w:rsidR="00D74DAB" w:rsidRDefault="00D74DAB" w:rsidP="0054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0C"/>
    <w:rsid w:val="00014452"/>
    <w:rsid w:val="00110A76"/>
    <w:rsid w:val="00171E53"/>
    <w:rsid w:val="00174864"/>
    <w:rsid w:val="004B2C5E"/>
    <w:rsid w:val="004D1AFA"/>
    <w:rsid w:val="00546FB6"/>
    <w:rsid w:val="00631AA1"/>
    <w:rsid w:val="007446F8"/>
    <w:rsid w:val="00823475"/>
    <w:rsid w:val="00AA77D3"/>
    <w:rsid w:val="00AF22BC"/>
    <w:rsid w:val="00AF6977"/>
    <w:rsid w:val="00B3130C"/>
    <w:rsid w:val="00B55786"/>
    <w:rsid w:val="00C700B7"/>
    <w:rsid w:val="00C97F34"/>
    <w:rsid w:val="00D74DAB"/>
    <w:rsid w:val="00DE419C"/>
    <w:rsid w:val="00E3416E"/>
    <w:rsid w:val="00EF502D"/>
    <w:rsid w:val="00F22B3F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B6"/>
  </w:style>
  <w:style w:type="paragraph" w:styleId="Footer">
    <w:name w:val="footer"/>
    <w:basedOn w:val="Normal"/>
    <w:link w:val="FooterChar"/>
    <w:uiPriority w:val="99"/>
    <w:unhideWhenUsed/>
    <w:rsid w:val="005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B6"/>
  </w:style>
  <w:style w:type="paragraph" w:styleId="Footer">
    <w:name w:val="footer"/>
    <w:basedOn w:val="Normal"/>
    <w:link w:val="FooterChar"/>
    <w:uiPriority w:val="99"/>
    <w:unhideWhenUsed/>
    <w:rsid w:val="005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Huser</dc:creator>
  <cp:lastModifiedBy>Joyce Huser</cp:lastModifiedBy>
  <cp:revision>18</cp:revision>
  <dcterms:created xsi:type="dcterms:W3CDTF">2015-05-20T20:29:00Z</dcterms:created>
  <dcterms:modified xsi:type="dcterms:W3CDTF">2015-05-21T16:52:00Z</dcterms:modified>
</cp:coreProperties>
</file>