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7F21E" w14:textId="77777777" w:rsidR="00B76441" w:rsidRPr="0084681A" w:rsidRDefault="003454F9" w:rsidP="00B76441">
      <w:pPr>
        <w:spacing w:before="100" w:beforeAutospacing="1" w:after="100" w:afterAutospacing="1"/>
        <w:jc w:val="center"/>
        <w:rPr>
          <w:rFonts w:asciiTheme="majorHAnsi" w:hAnsiTheme="majorHAnsi" w:cs="Arial"/>
          <w:sz w:val="36"/>
          <w:szCs w:val="40"/>
        </w:rPr>
      </w:pPr>
      <w:r w:rsidRPr="0084681A">
        <w:rPr>
          <w:rFonts w:asciiTheme="majorHAnsi" w:hAnsiTheme="majorHAnsi" w:cs="Arial"/>
          <w:b/>
          <w:bCs/>
          <w:sz w:val="36"/>
          <w:szCs w:val="40"/>
        </w:rPr>
        <w:t>2nd Grade Standards-Based Holistic Rubric</w:t>
      </w:r>
    </w:p>
    <w:p w14:paraId="117CF402" w14:textId="70999578" w:rsidR="006466B7" w:rsidRPr="0084681A" w:rsidRDefault="001345E6" w:rsidP="00B76441">
      <w:pPr>
        <w:spacing w:before="100" w:beforeAutospacing="1" w:after="100" w:afterAutospacing="1"/>
        <w:rPr>
          <w:rFonts w:asciiTheme="majorHAnsi" w:hAnsiTheme="majorHAnsi" w:cs="Arial"/>
          <w:sz w:val="36"/>
          <w:szCs w:val="40"/>
        </w:rPr>
      </w:pPr>
      <w:r w:rsidRPr="0084681A">
        <w:rPr>
          <w:rFonts w:asciiTheme="majorHAnsi" w:hAnsiTheme="majorHAnsi" w:cs="Arial"/>
          <w:sz w:val="22"/>
        </w:rPr>
        <w:t>This rubric</w:t>
      </w:r>
      <w:r w:rsidR="008921F9" w:rsidRPr="0084681A">
        <w:rPr>
          <w:rFonts w:asciiTheme="majorHAnsi" w:hAnsiTheme="majorHAnsi" w:cs="Arial"/>
          <w:sz w:val="22"/>
        </w:rPr>
        <w:t xml:space="preserve"> measures the degree to which </w:t>
      </w:r>
      <w:r w:rsidRPr="0084681A">
        <w:rPr>
          <w:rFonts w:asciiTheme="majorHAnsi" w:hAnsiTheme="majorHAnsi" w:cs="Arial"/>
          <w:sz w:val="22"/>
        </w:rPr>
        <w:t>e</w:t>
      </w:r>
      <w:r w:rsidR="008921F9" w:rsidRPr="0084681A">
        <w:rPr>
          <w:rFonts w:asciiTheme="majorHAnsi" w:hAnsiTheme="majorHAnsi" w:cs="Arial"/>
          <w:sz w:val="22"/>
        </w:rPr>
        <w:t>ach</w:t>
      </w:r>
      <w:r w:rsidRPr="0084681A">
        <w:rPr>
          <w:rFonts w:asciiTheme="majorHAnsi" w:hAnsiTheme="majorHAnsi" w:cs="Arial"/>
          <w:sz w:val="22"/>
        </w:rPr>
        <w:t xml:space="preserve"> performance stand has been met.  </w:t>
      </w:r>
      <w:r w:rsidR="00A832AC" w:rsidRPr="0084681A">
        <w:rPr>
          <w:rFonts w:asciiTheme="majorHAnsi" w:hAnsiTheme="majorHAnsi" w:cs="Arial"/>
          <w:sz w:val="22"/>
        </w:rPr>
        <w:t xml:space="preserve">Sufficient evidence is intended to indicate that a student has met the standard.  Strong evidence indicates that a student has gone above and beyond the standard.  While limited evidence indicates they have not quite met the standards, no evidence indicates </w:t>
      </w:r>
      <w:r w:rsidR="008921F9" w:rsidRPr="0084681A">
        <w:rPr>
          <w:rFonts w:asciiTheme="majorHAnsi" w:hAnsiTheme="majorHAnsi" w:cs="Arial"/>
          <w:sz w:val="22"/>
        </w:rPr>
        <w:t>the student has made no effort in</w:t>
      </w:r>
      <w:r w:rsidR="00A832AC" w:rsidRPr="0084681A">
        <w:rPr>
          <w:rFonts w:asciiTheme="majorHAnsi" w:hAnsiTheme="majorHAnsi" w:cs="Arial"/>
          <w:sz w:val="22"/>
        </w:rPr>
        <w:t xml:space="preserve"> meet</w:t>
      </w:r>
      <w:r w:rsidR="008921F9" w:rsidRPr="0084681A">
        <w:rPr>
          <w:rFonts w:asciiTheme="majorHAnsi" w:hAnsiTheme="majorHAnsi" w:cs="Arial"/>
          <w:sz w:val="22"/>
        </w:rPr>
        <w:t>ing</w:t>
      </w:r>
      <w:r w:rsidR="00A832AC" w:rsidRPr="0084681A">
        <w:rPr>
          <w:rFonts w:asciiTheme="majorHAnsi" w:hAnsiTheme="majorHAnsi" w:cs="Arial"/>
          <w:sz w:val="22"/>
        </w:rPr>
        <w:t xml:space="preserve"> the standard.</w:t>
      </w:r>
      <w:r w:rsidR="0084681A">
        <w:rPr>
          <w:rFonts w:asciiTheme="majorHAnsi" w:hAnsiTheme="majorHAnsi" w:cs="Arial"/>
          <w:sz w:val="22"/>
        </w:rPr>
        <w:t xml:space="preserve">  This rubric is meant</w:t>
      </w:r>
      <w:r w:rsidR="00130520" w:rsidRPr="0084681A">
        <w:rPr>
          <w:rFonts w:asciiTheme="majorHAnsi" w:hAnsiTheme="majorHAnsi" w:cs="Arial"/>
          <w:sz w:val="22"/>
        </w:rPr>
        <w:t xml:space="preserve"> to guide you in developing your</w:t>
      </w:r>
      <w:r w:rsidR="008921F9" w:rsidRPr="0084681A">
        <w:rPr>
          <w:rFonts w:asciiTheme="majorHAnsi" w:hAnsiTheme="majorHAnsi" w:cs="Arial"/>
          <w:sz w:val="22"/>
        </w:rPr>
        <w:t xml:space="preserve"> own lesson or unit plan rubric</w:t>
      </w:r>
      <w:r w:rsidR="00130520" w:rsidRPr="0084681A">
        <w:rPr>
          <w:rFonts w:asciiTheme="majorHAnsi" w:hAnsiTheme="majorHAnsi" w:cs="Arial"/>
          <w:sz w:val="22"/>
        </w:rPr>
        <w:t xml:space="preserve"> for measuring student achievement.  You are encouraged to re-word these qualif</w:t>
      </w:r>
      <w:r w:rsidR="0084681A">
        <w:rPr>
          <w:rFonts w:asciiTheme="majorHAnsi" w:hAnsiTheme="majorHAnsi" w:cs="Arial"/>
          <w:sz w:val="22"/>
        </w:rPr>
        <w:t>ies to align with your needs</w:t>
      </w:r>
      <w:r w:rsidR="00130520" w:rsidRPr="0084681A">
        <w:rPr>
          <w:rFonts w:asciiTheme="majorHAnsi" w:hAnsiTheme="majorHAnsi" w:cs="Arial"/>
          <w:sz w:val="22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3611"/>
        <w:gridCol w:w="2622"/>
        <w:gridCol w:w="2602"/>
      </w:tblGrid>
      <w:tr w:rsidR="0019727D" w:rsidRPr="0084681A" w14:paraId="56F1637A" w14:textId="77777777" w:rsidTr="0012781C">
        <w:tc>
          <w:tcPr>
            <w:tcW w:w="280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1A9AF5F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Performance Standards: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5B97D4A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 evidence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8087F6A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Limited evidence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90CCA4B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Sufficient evidence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AB96F59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Strong evidence </w:t>
            </w:r>
          </w:p>
        </w:tc>
      </w:tr>
      <w:tr w:rsidR="0019727D" w:rsidRPr="0084681A" w14:paraId="28D8600C" w14:textId="77777777" w:rsidTr="0012781C">
        <w:trPr>
          <w:trHeight w:val="613"/>
        </w:trPr>
        <w:tc>
          <w:tcPr>
            <w:tcW w:w="280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582175D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Creating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AC70EAB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18"/>
                <w:szCs w:val="18"/>
              </w:rPr>
              <w:t xml:space="preserve">Degree to which performance standard has been met. 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18AA5B0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18"/>
                <w:szCs w:val="18"/>
              </w:rPr>
              <w:t xml:space="preserve">Degree to which performance standard has been met.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F033C9B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18"/>
                <w:szCs w:val="18"/>
              </w:rPr>
              <w:t xml:space="preserve">Degree to which performance standard has been met.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A390742" w14:textId="77777777" w:rsidR="006466B7" w:rsidRPr="0084681A" w:rsidRDefault="006466B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18"/>
                <w:szCs w:val="18"/>
              </w:rPr>
              <w:t xml:space="preserve">Degree to which performance standard has been met. </w:t>
            </w:r>
          </w:p>
        </w:tc>
      </w:tr>
      <w:tr w:rsidR="0019727D" w:rsidRPr="0084681A" w14:paraId="38A20BB7" w14:textId="77777777" w:rsidTr="0012781C">
        <w:trPr>
          <w:trHeight w:val="1495"/>
        </w:trPr>
        <w:tc>
          <w:tcPr>
            <w:tcW w:w="280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79B4015" w14:textId="67AD7A63" w:rsidR="006466B7" w:rsidRPr="0084681A" w:rsidRDefault="002026B2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 Cr1.1.2</w:t>
            </w:r>
            <w:r w:rsidR="00B76441" w:rsidRPr="0084681A">
              <w:rPr>
                <w:rFonts w:asciiTheme="majorHAnsi" w:hAnsiTheme="majorHAnsi" w:cs="Arial"/>
                <w:sz w:val="22"/>
                <w:szCs w:val="22"/>
              </w:rPr>
              <w:t xml:space="preserve">               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Brainstorm collaboratively multiple approaches to an art or design problem.</w:t>
            </w:r>
            <w:r w:rsidR="006466B7"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9F60E8A" w14:textId="109BB9C1" w:rsidR="006466B7" w:rsidRPr="0084681A" w:rsidRDefault="006466B7" w:rsidP="00B76441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Offers no ways for approaching an art </w:t>
            </w:r>
            <w:r w:rsidR="005D60D7" w:rsidRPr="0084681A">
              <w:rPr>
                <w:rFonts w:asciiTheme="majorHAnsi" w:hAnsiTheme="majorHAnsi" w:cs="Arial"/>
                <w:sz w:val="22"/>
                <w:szCs w:val="22"/>
              </w:rPr>
              <w:t xml:space="preserve">or design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problem</w:t>
            </w:r>
            <w:r w:rsidR="005D60D7" w:rsidRPr="0084681A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F98A4B8" w14:textId="662DF640" w:rsidR="006466B7" w:rsidRPr="0084681A" w:rsidRDefault="005D60D7" w:rsidP="003541FE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Offers </w:t>
            </w:r>
            <w:r w:rsidR="003541FE" w:rsidRPr="0084681A">
              <w:rPr>
                <w:rFonts w:asciiTheme="majorHAnsi" w:hAnsiTheme="majorHAnsi" w:cs="Arial"/>
                <w:sz w:val="22"/>
                <w:szCs w:val="22"/>
              </w:rPr>
              <w:t xml:space="preserve">at least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one </w:t>
            </w:r>
            <w:r w:rsidR="006466B7" w:rsidRPr="0084681A">
              <w:rPr>
                <w:rFonts w:asciiTheme="majorHAnsi" w:hAnsiTheme="majorHAnsi" w:cs="Arial"/>
                <w:sz w:val="22"/>
                <w:szCs w:val="22"/>
              </w:rPr>
              <w:t xml:space="preserve">way for approaching an art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or design </w:t>
            </w:r>
            <w:r w:rsidR="003541FE" w:rsidRPr="0084681A">
              <w:rPr>
                <w:rFonts w:asciiTheme="majorHAnsi" w:hAnsiTheme="majorHAnsi" w:cs="Arial"/>
                <w:sz w:val="22"/>
                <w:szCs w:val="22"/>
              </w:rPr>
              <w:t>problem.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DF3DF7D" w14:textId="47812F88" w:rsidR="006466B7" w:rsidRPr="0084681A" w:rsidRDefault="003541FE" w:rsidP="009B5F9E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Offers</w:t>
            </w:r>
            <w:r w:rsidR="006466B7"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5D60D7" w:rsidRPr="0084681A">
              <w:rPr>
                <w:rFonts w:asciiTheme="majorHAnsi" w:hAnsiTheme="majorHAnsi" w:cs="Arial"/>
                <w:sz w:val="22"/>
                <w:szCs w:val="22"/>
              </w:rPr>
              <w:t xml:space="preserve">multiple ways </w:t>
            </w:r>
            <w:r w:rsidR="006466B7" w:rsidRPr="0084681A">
              <w:rPr>
                <w:rFonts w:asciiTheme="majorHAnsi" w:hAnsiTheme="majorHAnsi" w:cs="Arial"/>
                <w:sz w:val="22"/>
                <w:szCs w:val="22"/>
              </w:rPr>
              <w:t xml:space="preserve">for approaching an art </w:t>
            </w:r>
            <w:r w:rsidR="005D60D7" w:rsidRPr="0084681A">
              <w:rPr>
                <w:rFonts w:asciiTheme="majorHAnsi" w:hAnsiTheme="majorHAnsi" w:cs="Arial"/>
                <w:sz w:val="22"/>
                <w:szCs w:val="22"/>
              </w:rPr>
              <w:t xml:space="preserve">or design </w:t>
            </w:r>
            <w:r w:rsidR="006466B7" w:rsidRPr="0084681A">
              <w:rPr>
                <w:rFonts w:asciiTheme="majorHAnsi" w:hAnsiTheme="majorHAnsi" w:cs="Arial"/>
                <w:sz w:val="22"/>
                <w:szCs w:val="22"/>
              </w:rPr>
              <w:t>problem</w:t>
            </w:r>
            <w:r w:rsidR="005D60D7" w:rsidRPr="0084681A"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  <w:r w:rsidRPr="0084681A">
              <w:rPr>
                <w:rFonts w:asciiTheme="majorHAnsi" w:hAnsiTheme="majorHAnsi" w:cs="Arial"/>
                <w:strike/>
                <w:sz w:val="22"/>
                <w:szCs w:val="22"/>
              </w:rPr>
              <w:t xml:space="preserve"> </w:t>
            </w:r>
            <w:r w:rsidR="006466B7"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FD1A489" w14:textId="6C2A3137" w:rsidR="006466B7" w:rsidRPr="0084681A" w:rsidRDefault="006466B7" w:rsidP="009B5F9E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Offers multiple ways for approaching an art </w:t>
            </w:r>
            <w:r w:rsidR="005D60D7" w:rsidRPr="0084681A">
              <w:rPr>
                <w:rFonts w:asciiTheme="majorHAnsi" w:hAnsiTheme="majorHAnsi" w:cs="Arial"/>
                <w:sz w:val="22"/>
                <w:szCs w:val="22"/>
              </w:rPr>
              <w:t xml:space="preserve">or design </w:t>
            </w:r>
            <w:r w:rsidR="003541FE" w:rsidRPr="0084681A">
              <w:rPr>
                <w:rFonts w:asciiTheme="majorHAnsi" w:hAnsiTheme="majorHAnsi" w:cs="Arial"/>
                <w:sz w:val="22"/>
                <w:szCs w:val="22"/>
              </w:rPr>
              <w:t>problem</w:t>
            </w:r>
            <w:r w:rsidR="009B5F9E"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and pr</w:t>
            </w:r>
            <w:bookmarkStart w:id="0" w:name="_GoBack"/>
            <w:bookmarkEnd w:id="0"/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ovides rationale for choosing one to use in creating art. </w:t>
            </w:r>
          </w:p>
        </w:tc>
      </w:tr>
      <w:tr w:rsidR="0019727D" w:rsidRPr="0084681A" w14:paraId="4314BB85" w14:textId="77777777" w:rsidTr="0012781C">
        <w:tc>
          <w:tcPr>
            <w:tcW w:w="280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BA82D31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VA:Cr1.2.2</w:t>
            </w:r>
          </w:p>
          <w:p w14:paraId="3DDA961B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Make art or design with various materials and tools to explore personal interests, questions, and curiosity.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5BD5378" w14:textId="562A31F0" w:rsidR="00833FE3" w:rsidRPr="0084681A" w:rsidRDefault="00833FE3" w:rsidP="00833FE3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</w:t>
            </w:r>
            <w:r w:rsidR="00A264A5" w:rsidRPr="0084681A">
              <w:rPr>
                <w:rFonts w:asciiTheme="majorHAnsi" w:hAnsiTheme="majorHAnsi" w:cs="Arial"/>
                <w:sz w:val="22"/>
                <w:szCs w:val="22"/>
              </w:rPr>
              <w:t xml:space="preserve">use a variety of materials and tools to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make or complete art or design that explores personal interests, questions, and curiosity.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B37C4E9" w14:textId="4093399D" w:rsidR="00833FE3" w:rsidRPr="0084681A" w:rsidRDefault="00A264A5" w:rsidP="00833FE3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Using various materials and tools, creates </w:t>
            </w:r>
            <w:r w:rsidR="00833FE3" w:rsidRPr="0084681A">
              <w:rPr>
                <w:rFonts w:asciiTheme="majorHAnsi" w:hAnsiTheme="majorHAnsi" w:cs="Arial"/>
                <w:sz w:val="22"/>
                <w:szCs w:val="22"/>
              </w:rPr>
              <w:t xml:space="preserve">art, but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art reveals </w:t>
            </w:r>
            <w:r w:rsidR="00833FE3" w:rsidRPr="0084681A">
              <w:rPr>
                <w:rFonts w:asciiTheme="majorHAnsi" w:hAnsiTheme="majorHAnsi" w:cs="Arial"/>
                <w:sz w:val="22"/>
                <w:szCs w:val="22"/>
              </w:rPr>
              <w:t xml:space="preserve">no apparent evidence of </w:t>
            </w:r>
            <w:r w:rsidR="00407CA0" w:rsidRPr="0084681A">
              <w:rPr>
                <w:rFonts w:asciiTheme="majorHAnsi" w:hAnsiTheme="majorHAnsi" w:cs="Arial"/>
                <w:sz w:val="22"/>
                <w:szCs w:val="22"/>
              </w:rPr>
              <w:t>exploring personal</w:t>
            </w:r>
            <w:r w:rsidR="00833FE3" w:rsidRPr="0084681A">
              <w:rPr>
                <w:rFonts w:asciiTheme="majorHAnsi" w:hAnsiTheme="majorHAnsi" w:cs="Arial"/>
                <w:sz w:val="22"/>
                <w:szCs w:val="22"/>
              </w:rPr>
              <w:t xml:space="preserve"> interests, questions, and curiosity.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589FFD4" w14:textId="46470718" w:rsidR="00833FE3" w:rsidRPr="0084681A" w:rsidRDefault="00A264A5" w:rsidP="00407C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Using various materials and tools, creates art that explores and expresses personal </w:t>
            </w:r>
            <w:r w:rsidR="00833FE3" w:rsidRPr="0084681A">
              <w:rPr>
                <w:rFonts w:asciiTheme="majorHAnsi" w:hAnsiTheme="majorHAnsi" w:cs="Arial"/>
                <w:sz w:val="22"/>
                <w:szCs w:val="22"/>
              </w:rPr>
              <w:t xml:space="preserve">interests, questions, and curiosity.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A28320C" w14:textId="65121029" w:rsidR="00833FE3" w:rsidRPr="0084681A" w:rsidRDefault="00C87816" w:rsidP="00407CA0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Using various materials and tools, creates </w:t>
            </w:r>
            <w:r w:rsidR="00833FE3" w:rsidRPr="0084681A">
              <w:rPr>
                <w:rFonts w:asciiTheme="majorHAnsi" w:hAnsiTheme="majorHAnsi" w:cs="Arial"/>
                <w:sz w:val="22"/>
                <w:szCs w:val="22"/>
              </w:rPr>
              <w:t xml:space="preserve">art </w:t>
            </w:r>
            <w:r w:rsidR="00407CA0" w:rsidRPr="0084681A">
              <w:rPr>
                <w:rFonts w:asciiTheme="majorHAnsi" w:hAnsiTheme="majorHAnsi" w:cs="Arial"/>
                <w:sz w:val="22"/>
                <w:szCs w:val="22"/>
              </w:rPr>
              <w:t>with strong</w:t>
            </w:r>
            <w:r w:rsidR="002002D7" w:rsidRPr="0084681A">
              <w:rPr>
                <w:rFonts w:asciiTheme="majorHAnsi" w:hAnsiTheme="majorHAnsi" w:cs="Arial"/>
                <w:sz w:val="22"/>
                <w:szCs w:val="22"/>
              </w:rPr>
              <w:t xml:space="preserve"> evidence of</w:t>
            </w:r>
            <w:r w:rsidR="00407CA0"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2002D7" w:rsidRPr="0084681A">
              <w:rPr>
                <w:rFonts w:asciiTheme="majorHAnsi" w:hAnsiTheme="majorHAnsi" w:cs="Arial"/>
                <w:sz w:val="22"/>
                <w:szCs w:val="22"/>
              </w:rPr>
              <w:t>exploring</w:t>
            </w:r>
            <w:r w:rsidR="00833FE3"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407CA0" w:rsidRPr="0084681A">
              <w:rPr>
                <w:rFonts w:asciiTheme="majorHAnsi" w:hAnsiTheme="majorHAnsi" w:cs="Arial"/>
                <w:sz w:val="22"/>
                <w:szCs w:val="22"/>
              </w:rPr>
              <w:t>personal interests, questions, and curiosity.</w:t>
            </w:r>
            <w:r w:rsidR="00833FE3"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19727D" w:rsidRPr="0084681A" w14:paraId="1E7E8FD1" w14:textId="77777777" w:rsidTr="0012781C">
        <w:tc>
          <w:tcPr>
            <w:tcW w:w="280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D6AA9E6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VA:Cr2.1.2</w:t>
            </w:r>
          </w:p>
          <w:p w14:paraId="50048218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Experiment with various materials and tools to explore personal interests in a work of art or design.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7FFACA2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explore materials and tools prior to communicating about personal interests through their art. 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68E9B7F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Explores a limited range of materials and tools and makes selections with no apparent reason or connection to communicating topics of personal interests.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7F0060B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Explores materials and tools and makes selection </w:t>
            </w:r>
            <w:r w:rsidRPr="0084681A">
              <w:rPr>
                <w:rFonts w:asciiTheme="majorHAnsi" w:hAnsiTheme="majorHAnsi" w:cs="Arial"/>
                <w:strike/>
                <w:sz w:val="22"/>
                <w:szCs w:val="22"/>
              </w:rPr>
              <w:t>with apparent reason,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in order to communicate topics of personal interest.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E24A299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Explores multiple materials and tools and makes purposeful selections in order to communicate topics of personal interest. </w:t>
            </w:r>
          </w:p>
        </w:tc>
      </w:tr>
      <w:tr w:rsidR="0019727D" w:rsidRPr="0084681A" w14:paraId="728E84DA" w14:textId="77777777" w:rsidTr="0012781C">
        <w:tc>
          <w:tcPr>
            <w:tcW w:w="280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09723C1" w14:textId="77777777" w:rsidR="007843B5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VA:Cr2.2.2</w:t>
            </w:r>
          </w:p>
          <w:p w14:paraId="155ED25E" w14:textId="6143692B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Demonstrate safe procedures for using and cleaning art tools and equipment and studio spaces.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1B92335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demonstrate safe use and cleaning of art tools, equipment, and studio spaces. 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68897E5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Rarely demonstrates safe use and cleaning of art tools, equipment, and studio spaces.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1381EE9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Often demonstrates safe use and cleaning of art tools, equipment, and studio spaces.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10687A5" w14:textId="77777777" w:rsidR="00833FE3" w:rsidRPr="0084681A" w:rsidRDefault="00833FE3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Consistently demonstrates safe use and cleaning of art tools, equipment, and studio spaces. </w:t>
            </w:r>
          </w:p>
        </w:tc>
      </w:tr>
      <w:tr w:rsidR="0019727D" w:rsidRPr="0084681A" w14:paraId="48F77416" w14:textId="77777777" w:rsidTr="0012781C">
        <w:tc>
          <w:tcPr>
            <w:tcW w:w="280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08B9D13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lastRenderedPageBreak/>
              <w:t>VA:Cr2.3.2</w:t>
            </w:r>
          </w:p>
          <w:p w14:paraId="6715CD46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Repurpose objects to make something new.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A70DB6F" w14:textId="4DF9C925" w:rsidR="002002D7" w:rsidRPr="0084681A" w:rsidRDefault="009F252B" w:rsidP="009F252B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repurpose </w:t>
            </w:r>
            <w:r w:rsidR="002002D7" w:rsidRPr="0084681A">
              <w:rPr>
                <w:rFonts w:asciiTheme="majorHAnsi" w:hAnsiTheme="majorHAnsi" w:cs="Arial"/>
                <w:sz w:val="22"/>
                <w:szCs w:val="22"/>
              </w:rPr>
              <w:t>object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s and does not create an original work with a different purpose or meaning.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69F0577" w14:textId="29BB94E6" w:rsidR="0077410D" w:rsidRPr="0084681A" w:rsidRDefault="0077410D" w:rsidP="0077410D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Repurposes objects, but is unable to create an original work with a different purpose or meaning.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7DA1A5C1" w14:textId="6205A5F8" w:rsidR="002002D7" w:rsidRPr="0084681A" w:rsidRDefault="007843B5" w:rsidP="007843B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Repurposes objects to create an original work </w:t>
            </w:r>
            <w:r w:rsidR="0077410D" w:rsidRPr="0084681A">
              <w:rPr>
                <w:rFonts w:asciiTheme="majorHAnsi" w:hAnsiTheme="majorHAnsi" w:cs="Arial"/>
                <w:sz w:val="22"/>
                <w:szCs w:val="22"/>
              </w:rPr>
              <w:t>with a different purpose or meaning.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D60E329" w14:textId="1949516D" w:rsidR="002002D7" w:rsidRPr="0084681A" w:rsidRDefault="003E7D2C" w:rsidP="006F526C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Repurposes </w:t>
            </w:r>
            <w:proofErr w:type="gramStart"/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objects to create an original work with a different purpose or </w:t>
            </w:r>
            <w:proofErr w:type="spellStart"/>
            <w:r w:rsidRPr="0084681A">
              <w:rPr>
                <w:rFonts w:asciiTheme="majorHAnsi" w:hAnsiTheme="majorHAnsi" w:cs="Arial"/>
                <w:sz w:val="22"/>
                <w:szCs w:val="22"/>
              </w:rPr>
              <w:t>meaning.</w:t>
            </w:r>
            <w:r w:rsidR="00565E51" w:rsidRPr="0084681A">
              <w:rPr>
                <w:rFonts w:asciiTheme="majorHAnsi" w:hAnsiTheme="majorHAnsi" w:cs="Arial"/>
                <w:sz w:val="22"/>
                <w:szCs w:val="22"/>
              </w:rPr>
              <w:t>and</w:t>
            </w:r>
            <w:proofErr w:type="spellEnd"/>
            <w:r w:rsidR="00565E51" w:rsidRPr="0084681A">
              <w:rPr>
                <w:rFonts w:asciiTheme="majorHAnsi" w:hAnsiTheme="majorHAnsi" w:cs="Arial"/>
                <w:sz w:val="22"/>
                <w:szCs w:val="22"/>
              </w:rPr>
              <w:t xml:space="preserve"> thoroughly explain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s</w:t>
            </w:r>
            <w:proofErr w:type="gramEnd"/>
            <w:r w:rsidR="00565E51" w:rsidRPr="0084681A">
              <w:rPr>
                <w:rFonts w:asciiTheme="majorHAnsi" w:hAnsiTheme="majorHAnsi" w:cs="Arial"/>
                <w:sz w:val="22"/>
                <w:szCs w:val="22"/>
              </w:rPr>
              <w:t xml:space="preserve"> choices</w:t>
            </w:r>
            <w:r w:rsidR="002002D7" w:rsidRPr="0084681A"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19727D" w:rsidRPr="0084681A" w14:paraId="3A38FD85" w14:textId="77777777" w:rsidTr="0012781C">
        <w:tc>
          <w:tcPr>
            <w:tcW w:w="280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82D41D0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VA:Cr3.1.2</w:t>
            </w:r>
          </w:p>
          <w:p w14:paraId="5B42AFE3" w14:textId="0E676B0E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Discuss and reflect with peers about choices made in creating artwork.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A96CD5B" w14:textId="77777777" w:rsidR="002002D7" w:rsidRPr="0084681A" w:rsidRDefault="002002D7" w:rsidP="00A5341A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articulate </w:t>
            </w:r>
            <w:r w:rsidR="0039734C" w:rsidRPr="0084681A">
              <w:rPr>
                <w:rFonts w:asciiTheme="majorHAnsi" w:hAnsiTheme="majorHAnsi" w:cs="Arial"/>
                <w:sz w:val="22"/>
                <w:szCs w:val="22"/>
              </w:rPr>
              <w:t xml:space="preserve">nor discuss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choices made while creating artwork. </w:t>
            </w:r>
          </w:p>
          <w:p w14:paraId="286283D0" w14:textId="1E49D567" w:rsidR="00D3304D" w:rsidRPr="0084681A" w:rsidRDefault="00D3304D" w:rsidP="00A5341A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6678F10" w14:textId="234FBEF1" w:rsidR="002002D7" w:rsidRPr="0084681A" w:rsidRDefault="002002D7" w:rsidP="00E60A3D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Articulates</w:t>
            </w:r>
            <w:r w:rsidR="0039734C" w:rsidRPr="0084681A">
              <w:rPr>
                <w:rFonts w:asciiTheme="majorHAnsi" w:hAnsiTheme="majorHAnsi" w:cs="Arial"/>
                <w:sz w:val="22"/>
                <w:szCs w:val="22"/>
              </w:rPr>
              <w:t xml:space="preserve"> and discusses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84681A">
              <w:rPr>
                <w:rFonts w:asciiTheme="majorHAnsi" w:hAnsiTheme="majorHAnsi" w:cs="Arial"/>
                <w:strike/>
                <w:sz w:val="22"/>
                <w:szCs w:val="22"/>
              </w:rPr>
              <w:t>some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choices made while creating artwork but does not make clear connections between these choices</w:t>
            </w:r>
            <w:r w:rsidR="00FA03B4" w:rsidRPr="0084681A">
              <w:rPr>
                <w:rFonts w:asciiTheme="majorHAnsi" w:hAnsiTheme="majorHAnsi" w:cs="Arial"/>
                <w:sz w:val="22"/>
                <w:szCs w:val="22"/>
              </w:rPr>
              <w:t xml:space="preserve"> and </w:t>
            </w:r>
            <w:r w:rsidR="005541EB" w:rsidRPr="0084681A">
              <w:rPr>
                <w:rFonts w:asciiTheme="majorHAnsi" w:hAnsiTheme="majorHAnsi" w:cs="Arial"/>
                <w:sz w:val="22"/>
                <w:szCs w:val="22"/>
              </w:rPr>
              <w:t xml:space="preserve">the intent of </w:t>
            </w:r>
            <w:r w:rsidR="00FA03B4" w:rsidRPr="0084681A">
              <w:rPr>
                <w:rFonts w:asciiTheme="majorHAnsi" w:hAnsiTheme="majorHAnsi" w:cs="Arial"/>
                <w:sz w:val="22"/>
                <w:szCs w:val="22"/>
              </w:rPr>
              <w:t>their art work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DE8441C" w14:textId="065FBEB5" w:rsidR="002002D7" w:rsidRPr="0084681A" w:rsidRDefault="002002D7" w:rsidP="00D3304D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Articulates </w:t>
            </w:r>
            <w:r w:rsidR="00F654E5" w:rsidRPr="0084681A">
              <w:rPr>
                <w:rFonts w:asciiTheme="majorHAnsi" w:hAnsiTheme="majorHAnsi" w:cs="Arial"/>
                <w:sz w:val="22"/>
                <w:szCs w:val="22"/>
              </w:rPr>
              <w:t xml:space="preserve">and discusses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choices made while creating artwork</w:t>
            </w:r>
            <w:r w:rsidR="005541EB" w:rsidRPr="0084681A">
              <w:rPr>
                <w:rFonts w:asciiTheme="majorHAnsi" w:hAnsiTheme="majorHAnsi" w:cs="Arial"/>
                <w:sz w:val="22"/>
                <w:szCs w:val="22"/>
              </w:rPr>
              <w:t xml:space="preserve"> with clear connections to their intent</w:t>
            </w:r>
            <w:proofErr w:type="gramStart"/>
            <w:r w:rsidR="00FA03B4" w:rsidRPr="0084681A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.</w:t>
            </w:r>
            <w:proofErr w:type="gramEnd"/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289C435" w14:textId="77777777" w:rsidR="002002D7" w:rsidRPr="0084681A" w:rsidRDefault="002002D7" w:rsidP="00E60A3D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Articulates choices made while creating artwork and thoroughly explains these selections. </w:t>
            </w:r>
          </w:p>
        </w:tc>
      </w:tr>
      <w:tr w:rsidR="0019727D" w:rsidRPr="0084681A" w14:paraId="396BAE59" w14:textId="77777777" w:rsidTr="0012781C">
        <w:tc>
          <w:tcPr>
            <w:tcW w:w="2805" w:type="dxa"/>
            <w:tcBorders>
              <w:top w:val="single" w:sz="12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762B01B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Presenting </w:t>
            </w:r>
          </w:p>
        </w:tc>
        <w:tc>
          <w:tcPr>
            <w:tcW w:w="2790" w:type="dxa"/>
            <w:tcBorders>
              <w:top w:val="single" w:sz="12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00ADF03" w14:textId="77777777" w:rsidR="002002D7" w:rsidRPr="0084681A" w:rsidRDefault="002002D7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 evidence </w:t>
            </w:r>
          </w:p>
        </w:tc>
        <w:tc>
          <w:tcPr>
            <w:tcW w:w="3611" w:type="dxa"/>
            <w:tcBorders>
              <w:top w:val="single" w:sz="12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C1A62D0" w14:textId="77777777" w:rsidR="002002D7" w:rsidRPr="0084681A" w:rsidRDefault="002002D7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Limited evidence </w:t>
            </w:r>
          </w:p>
        </w:tc>
        <w:tc>
          <w:tcPr>
            <w:tcW w:w="0" w:type="auto"/>
            <w:tcBorders>
              <w:top w:val="single" w:sz="12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B4D8E8B" w14:textId="77777777" w:rsidR="002002D7" w:rsidRPr="0084681A" w:rsidRDefault="002002D7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Sufficient evidence </w:t>
            </w:r>
          </w:p>
        </w:tc>
        <w:tc>
          <w:tcPr>
            <w:tcW w:w="0" w:type="auto"/>
            <w:tcBorders>
              <w:top w:val="single" w:sz="12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  <w:hideMark/>
          </w:tcPr>
          <w:p w14:paraId="29624131" w14:textId="77777777" w:rsidR="002002D7" w:rsidRPr="0084681A" w:rsidRDefault="002002D7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Strong evidence </w:t>
            </w:r>
          </w:p>
        </w:tc>
      </w:tr>
      <w:tr w:rsidR="0019727D" w:rsidRPr="0084681A" w14:paraId="186A49BE" w14:textId="77777777" w:rsidTr="0012781C">
        <w:trPr>
          <w:trHeight w:val="1292"/>
        </w:trPr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30C52FD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VA:Pr.4.1.2</w:t>
            </w:r>
          </w:p>
          <w:p w14:paraId="3AD898C4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Categorize artwork based on a theme or concept for an exhibit.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right w:val="single" w:sz="8" w:space="0" w:color="C9C9C9"/>
            </w:tcBorders>
            <w:vAlign w:val="center"/>
            <w:hideMark/>
          </w:tcPr>
          <w:p w14:paraId="21C8704B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categorize artworks according to a theme or concept. </w:t>
            </w:r>
          </w:p>
          <w:p w14:paraId="22695D90" w14:textId="77777777" w:rsidR="00D3304D" w:rsidRPr="0084681A" w:rsidRDefault="00D3304D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right w:val="single" w:sz="8" w:space="0" w:color="C9C9C9"/>
            </w:tcBorders>
            <w:vAlign w:val="center"/>
            <w:hideMark/>
          </w:tcPr>
          <w:p w14:paraId="3F37264B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Categorizes artworks according to a theme or concept.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1C4E1F0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Categorizes artworks according to a theme or concept and provides rationale for grouping.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  <w:hideMark/>
          </w:tcPr>
          <w:p w14:paraId="391C9419" w14:textId="77777777" w:rsidR="002002D7" w:rsidRPr="0084681A" w:rsidRDefault="002002D7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Categorizes artworks according to a theme or concept and provides compelling rationale for grouping. </w:t>
            </w:r>
          </w:p>
        </w:tc>
      </w:tr>
      <w:tr w:rsidR="0019727D" w:rsidRPr="0084681A" w14:paraId="5FAF7431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09BBC84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VA:Pr5.1.2</w:t>
            </w:r>
          </w:p>
          <w:p w14:paraId="319BDA2A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Distinguish between different materials or artistic techniques for preparing artwork for presentation.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30D384D" w14:textId="77777777" w:rsidR="00846026" w:rsidRPr="0084681A" w:rsidRDefault="00846026" w:rsidP="0084602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</w:t>
            </w: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distinguish between different materials or artistic techniques for preparing artwork for presentation.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D35C0E8" w14:textId="77777777" w:rsidR="00846026" w:rsidRPr="0084681A" w:rsidRDefault="00846026" w:rsidP="0084602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Distinguishes between different materials or artistic techniques for preparing artwork for presentation.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2366371" w14:textId="074265A2" w:rsidR="00846026" w:rsidRPr="0084681A" w:rsidRDefault="00846026" w:rsidP="0084602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Distinguishes between different materials or artistic techniques for preparing artwork for presentation</w:t>
            </w:r>
            <w:r w:rsidR="00B951D4" w:rsidRPr="0084681A">
              <w:rPr>
                <w:rFonts w:asciiTheme="majorHAnsi" w:hAnsiTheme="majorHAnsi" w:cs="Arial"/>
                <w:bCs/>
                <w:sz w:val="22"/>
                <w:szCs w:val="22"/>
              </w:rPr>
              <w:t>.</w:t>
            </w: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  <w:proofErr w:type="gramStart"/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and</w:t>
            </w:r>
            <w:proofErr w:type="gramEnd"/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provides rationale.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</w:tcPr>
          <w:p w14:paraId="3B91B3E7" w14:textId="77777777" w:rsidR="00846026" w:rsidRPr="0084681A" w:rsidRDefault="00846026" w:rsidP="00846026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Distinguishes between different materials or artistic techniques for preparing artwork for presentation and provides compelling rationale.</w:t>
            </w:r>
          </w:p>
        </w:tc>
      </w:tr>
      <w:tr w:rsidR="0019727D" w:rsidRPr="0084681A" w14:paraId="76D13329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69095C62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VA:Pr6.1.2</w:t>
            </w:r>
          </w:p>
          <w:p w14:paraId="2729FA9D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Analyze how art exhibited inside and outside of schools (such as in museums, galleries, virtual spaces, and other venues) contributes to communities.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108018CD" w14:textId="77777777" w:rsidR="00846026" w:rsidRPr="0084681A" w:rsidRDefault="00846026" w:rsidP="00846026">
            <w:pPr>
              <w:spacing w:before="100" w:beforeAutospacing="1" w:after="100" w:afterAutospacing="1"/>
              <w:rPr>
                <w:rFonts w:asciiTheme="majorHAnsi" w:hAnsiTheme="majorHAnsi" w:cs="Arial"/>
                <w:sz w:val="18"/>
                <w:szCs w:val="18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Does not articulate how art exhibited inside and outside of schools contributes to communities.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1D443A0E" w14:textId="16157652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18"/>
                <w:szCs w:val="18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Articula</w:t>
            </w:r>
            <w:r w:rsidR="0002446D" w:rsidRPr="0084681A">
              <w:rPr>
                <w:rFonts w:asciiTheme="majorHAnsi" w:hAnsiTheme="majorHAnsi" w:cs="Arial"/>
                <w:bCs/>
                <w:sz w:val="22"/>
                <w:szCs w:val="22"/>
              </w:rPr>
              <w:t xml:space="preserve">tes how art exhibited inside </w:t>
            </w:r>
            <w:r w:rsidR="0002446D" w:rsidRPr="0084681A">
              <w:rPr>
                <w:rFonts w:asciiTheme="majorHAnsi" w:hAnsiTheme="majorHAnsi" w:cs="Arial"/>
                <w:bCs/>
                <w:sz w:val="22"/>
                <w:szCs w:val="22"/>
                <w:u w:val="single"/>
              </w:rPr>
              <w:t>or</w:t>
            </w:r>
            <w:r w:rsidRPr="0084681A">
              <w:rPr>
                <w:rFonts w:asciiTheme="majorHAnsi" w:hAnsiTheme="majorHAnsi" w:cs="Arial"/>
                <w:bCs/>
                <w:sz w:val="22"/>
                <w:szCs w:val="22"/>
                <w:u w:val="single"/>
              </w:rPr>
              <w:t xml:space="preserve"> </w:t>
            </w: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outside of schools contributes to communities.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5D73ECCC" w14:textId="5068E23C" w:rsidR="00846026" w:rsidRPr="0084681A" w:rsidRDefault="00846026" w:rsidP="0002446D">
            <w:pPr>
              <w:spacing w:before="100" w:beforeAutospacing="1" w:after="100" w:afterAutospacing="1"/>
              <w:rPr>
                <w:rFonts w:asciiTheme="majorHAnsi" w:hAnsiTheme="majorHAnsi" w:cs="Arial"/>
                <w:sz w:val="18"/>
                <w:szCs w:val="18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Articulates how art exhibited inside and outside of schools contributes to communities.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</w:tcPr>
          <w:p w14:paraId="4350336A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18"/>
                <w:szCs w:val="18"/>
              </w:rPr>
            </w:pPr>
            <w:r w:rsidRPr="0084681A">
              <w:rPr>
                <w:rFonts w:asciiTheme="majorHAnsi" w:hAnsiTheme="majorHAnsi" w:cs="Arial"/>
                <w:bCs/>
                <w:sz w:val="22"/>
                <w:szCs w:val="22"/>
              </w:rPr>
              <w:t>Articulates how art exhibited inside and outside of schools contributes to communities and provides compelling rationale.</w:t>
            </w:r>
          </w:p>
        </w:tc>
      </w:tr>
      <w:tr w:rsidR="0019727D" w:rsidRPr="0084681A" w14:paraId="69F7794F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2A49AF0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Responding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FD8CA86" w14:textId="77777777" w:rsidR="00846026" w:rsidRPr="0084681A" w:rsidRDefault="00846026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 evidence 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ADE2849" w14:textId="77777777" w:rsidR="00846026" w:rsidRPr="0084681A" w:rsidRDefault="00846026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Limited evidence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07BC3571" w14:textId="77777777" w:rsidR="00846026" w:rsidRPr="0084681A" w:rsidRDefault="00846026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Sufficient evidence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  <w:hideMark/>
          </w:tcPr>
          <w:p w14:paraId="5A5AD703" w14:textId="77777777" w:rsidR="00846026" w:rsidRPr="0084681A" w:rsidRDefault="00846026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Strong evidence </w:t>
            </w:r>
          </w:p>
        </w:tc>
      </w:tr>
      <w:tr w:rsidR="0012781C" w:rsidRPr="0084681A" w14:paraId="6DCC25D9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55F5C921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VA:Re7.1.2</w:t>
            </w:r>
          </w:p>
          <w:p w14:paraId="5131D360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Perceive and describe aesthetic characteristics of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lastRenderedPageBreak/>
              <w:t>one’s natural world and constructed environments.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7F86E249" w14:textId="4A2B4675" w:rsidR="00846026" w:rsidRPr="0084681A" w:rsidRDefault="003454F9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Does not articulate </w:t>
            </w:r>
            <w:r w:rsidR="0012781C" w:rsidRPr="0084681A">
              <w:rPr>
                <w:rFonts w:asciiTheme="majorHAnsi" w:hAnsiTheme="majorHAnsi" w:cs="Arial"/>
                <w:sz w:val="22"/>
                <w:szCs w:val="22"/>
              </w:rPr>
              <w:t xml:space="preserve">nor describe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aesthetic characteristics of one’s natural world and constructed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lastRenderedPageBreak/>
              <w:t>environments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74A4179B" w14:textId="7AB698D7" w:rsidR="00846026" w:rsidRPr="0084681A" w:rsidRDefault="003454F9" w:rsidP="0012781C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Articulates </w:t>
            </w:r>
            <w:r w:rsidR="0012781C" w:rsidRPr="0084681A">
              <w:rPr>
                <w:rFonts w:asciiTheme="majorHAnsi" w:hAnsiTheme="majorHAnsi" w:cs="Arial"/>
                <w:sz w:val="22"/>
                <w:szCs w:val="22"/>
              </w:rPr>
              <w:t xml:space="preserve">and describes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aesthetic characteristics of one’s natural world </w:t>
            </w:r>
            <w:r w:rsidR="0012781C" w:rsidRPr="0084681A">
              <w:rPr>
                <w:rFonts w:asciiTheme="majorHAnsi" w:hAnsiTheme="majorHAnsi" w:cs="Arial"/>
                <w:sz w:val="22"/>
                <w:szCs w:val="22"/>
                <w:u w:val="single"/>
              </w:rPr>
              <w:t>or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constructed environments.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562A96B5" w14:textId="7B5F9846" w:rsidR="00846026" w:rsidRPr="0084681A" w:rsidRDefault="003454F9" w:rsidP="0012781C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Articulates </w:t>
            </w:r>
            <w:r w:rsidR="0012781C" w:rsidRPr="0084681A">
              <w:rPr>
                <w:rFonts w:asciiTheme="majorHAnsi" w:hAnsiTheme="majorHAnsi" w:cs="Arial"/>
                <w:sz w:val="22"/>
                <w:szCs w:val="22"/>
              </w:rPr>
              <w:t xml:space="preserve">and describes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aesthetic characteristics of one’s natural world and constructed environments.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</w:tcPr>
          <w:p w14:paraId="3AE49245" w14:textId="1D61C0B9" w:rsidR="00846026" w:rsidRPr="0084681A" w:rsidRDefault="003454F9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Articulates </w:t>
            </w:r>
            <w:r w:rsidR="0012781C" w:rsidRPr="0084681A">
              <w:rPr>
                <w:rFonts w:asciiTheme="majorHAnsi" w:hAnsiTheme="majorHAnsi" w:cs="Arial"/>
                <w:sz w:val="22"/>
                <w:szCs w:val="22"/>
              </w:rPr>
              <w:t xml:space="preserve">and describes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aesthetic characteristics of one’s natural world and constructed environments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lastRenderedPageBreak/>
              <w:t>and provides compelling rationale.</w:t>
            </w:r>
          </w:p>
        </w:tc>
      </w:tr>
      <w:tr w:rsidR="0019727D" w:rsidRPr="0084681A" w14:paraId="62100E06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BD4EC4B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lastRenderedPageBreak/>
              <w:t>VA:Re7.2.2</w:t>
            </w:r>
          </w:p>
          <w:p w14:paraId="4279D9D4" w14:textId="77777777" w:rsidR="00846026" w:rsidRPr="0084681A" w:rsidRDefault="00846026" w:rsidP="00D00F3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Categorize images based on expressive properties.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57A67906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Does not categorize images based on expressive properties.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87DC14F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Categorizes images based on expressive properties.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B6DBD47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Categorizes images based on expressive properties and provides rationale for grouping.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  <w:hideMark/>
          </w:tcPr>
          <w:p w14:paraId="3C0334DE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Categorizes images based on expressive properties and provides compelling rationale for grouping. </w:t>
            </w:r>
          </w:p>
        </w:tc>
      </w:tr>
      <w:tr w:rsidR="00F81D0D" w:rsidRPr="0084681A" w14:paraId="40F2FAD1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CF6F32B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VA:Re8.1.2</w:t>
            </w:r>
          </w:p>
          <w:p w14:paraId="48DB7D2E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Interpret art by identifying the mood suggested by a work of art and describing relevant subject matter and characteristics of form.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75E2F45" w14:textId="0D54394E" w:rsidR="00846026" w:rsidRPr="0084681A" w:rsidRDefault="00F81D0D" w:rsidP="00450E81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identify </w:t>
            </w:r>
            <w:proofErr w:type="spellStart"/>
            <w:r w:rsidRPr="0084681A">
              <w:rPr>
                <w:rFonts w:asciiTheme="majorHAnsi" w:hAnsiTheme="majorHAnsi" w:cs="Arial"/>
                <w:sz w:val="22"/>
                <w:szCs w:val="22"/>
              </w:rPr>
              <w:t>the</w:t>
            </w:r>
            <w:r w:rsidR="00846026" w:rsidRPr="0084681A">
              <w:rPr>
                <w:rFonts w:asciiTheme="majorHAnsi" w:hAnsiTheme="majorHAnsi" w:cs="Arial"/>
                <w:sz w:val="22"/>
                <w:szCs w:val="22"/>
              </w:rPr>
              <w:t>l</w:t>
            </w:r>
            <w:proofErr w:type="spellEnd"/>
            <w:r w:rsidR="00846026" w:rsidRPr="0084681A">
              <w:rPr>
                <w:rFonts w:asciiTheme="majorHAnsi" w:hAnsiTheme="majorHAnsi" w:cs="Arial"/>
                <w:sz w:val="22"/>
                <w:szCs w:val="22"/>
              </w:rPr>
              <w:t xml:space="preserve"> mood of an artwork and does not explain how the artist incorporates subject matter and other details. 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3483092" w14:textId="239C39C5" w:rsidR="00846026" w:rsidRPr="0084681A" w:rsidRDefault="00732E0A" w:rsidP="00F81D0D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Identifies the mood suggested by a work of art but does not id</w:t>
            </w:r>
            <w:r w:rsidR="001737CC" w:rsidRPr="0084681A">
              <w:rPr>
                <w:rFonts w:asciiTheme="majorHAnsi" w:hAnsiTheme="majorHAnsi" w:cs="Arial"/>
                <w:sz w:val="22"/>
                <w:szCs w:val="22"/>
              </w:rPr>
              <w:t xml:space="preserve">entify relevant subject matter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and details </w:t>
            </w:r>
            <w:r w:rsidR="001737CC" w:rsidRPr="0084681A">
              <w:rPr>
                <w:rFonts w:asciiTheme="majorHAnsi" w:hAnsiTheme="majorHAnsi" w:cs="Arial"/>
                <w:sz w:val="22"/>
                <w:szCs w:val="22"/>
              </w:rPr>
              <w:t>used to suggest the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mood. 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37C4E51" w14:textId="5ED02ED1" w:rsidR="00846026" w:rsidRPr="0084681A" w:rsidRDefault="00846026" w:rsidP="00450E81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Interprets the overall mood of an artwork an</w:t>
            </w:r>
            <w:r w:rsidR="00F81D0D" w:rsidRPr="0084681A">
              <w:rPr>
                <w:rFonts w:asciiTheme="majorHAnsi" w:hAnsiTheme="majorHAnsi" w:cs="Arial"/>
                <w:sz w:val="22"/>
                <w:szCs w:val="22"/>
              </w:rPr>
              <w:t xml:space="preserve">d makes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connections to how the artist incorporates subject matter and other details</w:t>
            </w:r>
            <w:r w:rsidR="00732E0A"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1737CC" w:rsidRPr="0084681A">
              <w:rPr>
                <w:rFonts w:asciiTheme="majorHAnsi" w:hAnsiTheme="majorHAnsi" w:cs="Arial"/>
                <w:sz w:val="22"/>
                <w:szCs w:val="22"/>
              </w:rPr>
              <w:t>to suggest</w:t>
            </w:r>
            <w:r w:rsidR="00732E0A" w:rsidRPr="0084681A">
              <w:rPr>
                <w:rFonts w:asciiTheme="majorHAnsi" w:hAnsiTheme="majorHAnsi" w:cs="Arial"/>
                <w:sz w:val="22"/>
                <w:szCs w:val="22"/>
              </w:rPr>
              <w:t xml:space="preserve"> the mood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  <w:hideMark/>
          </w:tcPr>
          <w:p w14:paraId="32D56E3D" w14:textId="4BA30BA2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Interprets the overall mood of an artwork and thoroughly explains how the artist incorporates subject matter and other details</w:t>
            </w:r>
            <w:r w:rsidR="00732E0A" w:rsidRPr="0084681A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1737CC" w:rsidRPr="0084681A">
              <w:rPr>
                <w:rFonts w:asciiTheme="majorHAnsi" w:hAnsiTheme="majorHAnsi" w:cs="Arial"/>
                <w:sz w:val="22"/>
                <w:szCs w:val="22"/>
              </w:rPr>
              <w:t>to suggest</w:t>
            </w:r>
            <w:r w:rsidR="00732E0A" w:rsidRPr="0084681A">
              <w:rPr>
                <w:rFonts w:asciiTheme="majorHAnsi" w:hAnsiTheme="majorHAnsi" w:cs="Arial"/>
                <w:sz w:val="22"/>
                <w:szCs w:val="22"/>
              </w:rPr>
              <w:t xml:space="preserve"> the mood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A62D1C" w:rsidRPr="0084681A" w14:paraId="5908F9AF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48D09E7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VA:Re9.1.2</w:t>
            </w:r>
          </w:p>
          <w:p w14:paraId="71C1C4EC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Use learned art vocabulary to express preferences about artwork.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31AC820E" w14:textId="15D34753" w:rsidR="00846026" w:rsidRPr="0084681A" w:rsidRDefault="00A62D1C" w:rsidP="00A62D1C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Does not use</w:t>
            </w:r>
            <w:r w:rsidR="00846026" w:rsidRPr="0084681A">
              <w:rPr>
                <w:rFonts w:asciiTheme="majorHAnsi" w:hAnsiTheme="majorHAnsi" w:cs="Arial"/>
                <w:sz w:val="22"/>
                <w:szCs w:val="22"/>
              </w:rPr>
              <w:t xml:space="preserve"> art vocabulary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to </w:t>
            </w:r>
            <w:r w:rsidR="00846026" w:rsidRPr="0084681A">
              <w:rPr>
                <w:rFonts w:asciiTheme="majorHAnsi" w:hAnsiTheme="majorHAnsi" w:cs="Arial"/>
                <w:sz w:val="22"/>
                <w:szCs w:val="22"/>
              </w:rPr>
              <w:t>communicate preferences about artwork.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206115A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Uses limited art vocabulary to express preferences about artwork.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7DD4815C" w14:textId="77777777" w:rsidR="00846026" w:rsidRPr="0084681A" w:rsidRDefault="00846026" w:rsidP="00565E51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Uses sufficient art vocabulary to express preferences about artwork.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</w:tcPr>
          <w:p w14:paraId="5C739431" w14:textId="5867FC42" w:rsidR="00846026" w:rsidRPr="0084681A" w:rsidRDefault="00846026" w:rsidP="00A62D1C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Uses advanced art vocabulary to express preferences about artwork. </w:t>
            </w:r>
          </w:p>
        </w:tc>
      </w:tr>
      <w:tr w:rsidR="0019727D" w:rsidRPr="0084681A" w14:paraId="69DFAD78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485F9F44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Connecting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176DD4BD" w14:textId="77777777" w:rsidR="00846026" w:rsidRPr="0084681A" w:rsidRDefault="00846026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 evidence 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6B8712C0" w14:textId="77777777" w:rsidR="00846026" w:rsidRPr="0084681A" w:rsidRDefault="00846026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Limited evidence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37E74384" w14:textId="77777777" w:rsidR="00846026" w:rsidRPr="0084681A" w:rsidRDefault="00846026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Sufficient evidence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  <w:hideMark/>
          </w:tcPr>
          <w:p w14:paraId="3E15EADB" w14:textId="77777777" w:rsidR="00846026" w:rsidRPr="0084681A" w:rsidRDefault="00846026" w:rsidP="005318D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Strong evidence </w:t>
            </w:r>
          </w:p>
        </w:tc>
      </w:tr>
      <w:tr w:rsidR="0019727D" w:rsidRPr="0084681A" w14:paraId="63DB8DB2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450ED399" w14:textId="77777777" w:rsidR="00846026" w:rsidRPr="0084681A" w:rsidRDefault="00846026" w:rsidP="00316A85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VA:Cn10.1.2</w:t>
            </w:r>
          </w:p>
          <w:p w14:paraId="64D869D9" w14:textId="77777777" w:rsidR="00846026" w:rsidRPr="0084681A" w:rsidRDefault="00846026" w:rsidP="00316A8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Create works of art about events in home, school, or community life. </w:t>
            </w: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5D619ECB" w14:textId="249580DB" w:rsidR="00846026" w:rsidRPr="0084681A" w:rsidRDefault="00846026" w:rsidP="00A62D1C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create </w:t>
            </w:r>
            <w:r w:rsidR="00A62D1C" w:rsidRPr="0084681A">
              <w:rPr>
                <w:rFonts w:asciiTheme="majorHAnsi" w:hAnsiTheme="majorHAnsi" w:cs="Arial"/>
                <w:sz w:val="22"/>
                <w:szCs w:val="22"/>
              </w:rPr>
              <w:t xml:space="preserve">a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work of art that communicates about events in home, school, or community life. </w:t>
            </w: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0515C058" w14:textId="50ADEF3F" w:rsidR="00846026" w:rsidRPr="0084681A" w:rsidRDefault="00846026" w:rsidP="00316A8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Create</w:t>
            </w:r>
            <w:r w:rsidR="00A62D1C" w:rsidRPr="0084681A">
              <w:rPr>
                <w:rFonts w:asciiTheme="majorHAnsi" w:hAnsiTheme="majorHAnsi" w:cs="Arial"/>
                <w:sz w:val="22"/>
                <w:szCs w:val="22"/>
              </w:rPr>
              <w:t xml:space="preserve">s a work of </w:t>
            </w:r>
            <w:proofErr w:type="gramStart"/>
            <w:r w:rsidR="00A62D1C" w:rsidRPr="0084681A">
              <w:rPr>
                <w:rFonts w:asciiTheme="majorHAnsi" w:hAnsiTheme="majorHAnsi" w:cs="Arial"/>
                <w:sz w:val="22"/>
                <w:szCs w:val="22"/>
              </w:rPr>
              <w:t>art, that</w:t>
            </w:r>
            <w:proofErr w:type="gramEnd"/>
            <w:r w:rsidR="00A62D1C" w:rsidRPr="0084681A">
              <w:rPr>
                <w:rFonts w:asciiTheme="majorHAnsi" w:hAnsiTheme="majorHAnsi" w:cs="Arial"/>
                <w:sz w:val="22"/>
                <w:szCs w:val="22"/>
              </w:rPr>
              <w:t xml:space="preserve"> begins to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communicate about events in home, school, or community life.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14:paraId="2E80A758" w14:textId="56BF5D88" w:rsidR="00846026" w:rsidRPr="0084681A" w:rsidRDefault="00846026" w:rsidP="00A62D1C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Creates a work of art that communicates </w:t>
            </w:r>
            <w:r w:rsidR="00A62D1C" w:rsidRPr="0084681A">
              <w:rPr>
                <w:rFonts w:asciiTheme="majorHAnsi" w:hAnsiTheme="majorHAnsi" w:cs="Arial"/>
                <w:sz w:val="22"/>
                <w:szCs w:val="22"/>
              </w:rPr>
              <w:t xml:space="preserve">about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events in home, school, or community life. 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</w:tcPr>
          <w:p w14:paraId="18A0975D" w14:textId="167D1153" w:rsidR="00846026" w:rsidRPr="0084681A" w:rsidRDefault="00846026" w:rsidP="00316A8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Creates a work of art that clearly communicates </w:t>
            </w:r>
            <w:r w:rsidR="00A62D1C" w:rsidRPr="0084681A">
              <w:rPr>
                <w:rFonts w:asciiTheme="majorHAnsi" w:hAnsiTheme="majorHAnsi" w:cs="Arial"/>
                <w:sz w:val="22"/>
                <w:szCs w:val="22"/>
              </w:rPr>
              <w:t xml:space="preserve">in-depth 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about events in home, school, or community life. </w:t>
            </w:r>
          </w:p>
        </w:tc>
      </w:tr>
      <w:tr w:rsidR="0019727D" w:rsidRPr="0084681A" w14:paraId="10A9134E" w14:textId="77777777" w:rsidTr="0012781C">
        <w:tc>
          <w:tcPr>
            <w:tcW w:w="2805" w:type="dxa"/>
            <w:tcBorders>
              <w:top w:val="single" w:sz="8" w:space="0" w:color="C9C9C9"/>
              <w:left w:val="single" w:sz="12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8D7C75E" w14:textId="52586B02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>VA:Cn11.1.2</w:t>
            </w:r>
          </w:p>
          <w:p w14:paraId="61149610" w14:textId="77777777" w:rsidR="00846026" w:rsidRPr="0084681A" w:rsidRDefault="00846026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Compare and contrast cultural uses of artworks from different times and places. </w:t>
            </w:r>
          </w:p>
          <w:p w14:paraId="6DCDBDF3" w14:textId="77777777" w:rsidR="000D7E55" w:rsidRPr="0084681A" w:rsidRDefault="000D7E55" w:rsidP="006466B7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9085BF6" w14:textId="3D2AD77C" w:rsidR="000D7E55" w:rsidRPr="0084681A" w:rsidRDefault="000D7E55" w:rsidP="006466B7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F01F4EB" w14:textId="7157D332" w:rsidR="000D7E55" w:rsidRPr="0084681A" w:rsidRDefault="00846026" w:rsidP="000D7E55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Does not compare and contrast </w:t>
            </w:r>
            <w:r w:rsidR="000D7E55" w:rsidRPr="0084681A">
              <w:rPr>
                <w:rFonts w:asciiTheme="majorHAnsi" w:hAnsiTheme="majorHAnsi" w:cs="ArialMT"/>
                <w:sz w:val="22"/>
                <w:szCs w:val="22"/>
              </w:rPr>
              <w:t>details in art works from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 different times or places</w:t>
            </w:r>
            <w:r w:rsidR="000D7E55" w:rsidRPr="0084681A">
              <w:rPr>
                <w:rFonts w:asciiTheme="majorHAnsi" w:hAnsiTheme="majorHAnsi" w:cs="Arial"/>
                <w:sz w:val="22"/>
                <w:szCs w:val="22"/>
              </w:rPr>
              <w:t xml:space="preserve"> to determine their uses</w:t>
            </w: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</w:p>
          <w:p w14:paraId="20BC94C1" w14:textId="514E1508" w:rsidR="00846026" w:rsidRPr="0084681A" w:rsidRDefault="00846026" w:rsidP="000D7E55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7B3E8C33" w14:textId="599FFB6D" w:rsidR="000D7E55" w:rsidRPr="0084681A" w:rsidRDefault="00846026" w:rsidP="00210164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  <w:r w:rsidRPr="0084681A">
              <w:rPr>
                <w:rFonts w:asciiTheme="majorHAnsi" w:hAnsiTheme="majorHAnsi" w:cs="Arial"/>
                <w:sz w:val="22"/>
                <w:szCs w:val="22"/>
              </w:rPr>
              <w:t xml:space="preserve">Compares and contrasts </w:t>
            </w:r>
            <w:r w:rsidR="000D7E55" w:rsidRPr="0084681A">
              <w:rPr>
                <w:rFonts w:asciiTheme="majorHAnsi" w:hAnsiTheme="majorHAnsi" w:cs="ArialMT"/>
                <w:sz w:val="22"/>
                <w:szCs w:val="22"/>
              </w:rPr>
              <w:t>details in art works from</w:t>
            </w:r>
            <w:r w:rsidR="000D7E55" w:rsidRPr="0084681A">
              <w:rPr>
                <w:rFonts w:asciiTheme="majorHAnsi" w:hAnsiTheme="majorHAnsi" w:cs="Arial"/>
                <w:sz w:val="22"/>
                <w:szCs w:val="22"/>
              </w:rPr>
              <w:t xml:space="preserve"> different times or places but is not able to determine their uses based on these details. </w:t>
            </w:r>
          </w:p>
          <w:p w14:paraId="6561AFBC" w14:textId="77777777" w:rsidR="000D7E55" w:rsidRPr="0084681A" w:rsidRDefault="000D7E55" w:rsidP="00210164">
            <w:pPr>
              <w:spacing w:before="100" w:beforeAutospacing="1" w:after="100" w:afterAutospacing="1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DA38647" w14:textId="786C7A4A" w:rsidR="00846026" w:rsidRPr="0084681A" w:rsidRDefault="00846026" w:rsidP="00210164">
            <w:pPr>
              <w:spacing w:before="100" w:beforeAutospacing="1" w:after="100" w:afterAutospacing="1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  <w:hideMark/>
          </w:tcPr>
          <w:p w14:paraId="26B44B47" w14:textId="77777777" w:rsidR="00283260" w:rsidRPr="0084681A" w:rsidRDefault="00283260" w:rsidP="00283260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22"/>
                <w:szCs w:val="22"/>
              </w:rPr>
            </w:pPr>
            <w:r w:rsidRPr="0084681A">
              <w:rPr>
                <w:rFonts w:asciiTheme="majorHAnsi" w:hAnsiTheme="majorHAnsi" w:cs="ArialMT"/>
                <w:sz w:val="22"/>
                <w:szCs w:val="22"/>
              </w:rPr>
              <w:t>Compares and contrasts</w:t>
            </w:r>
          </w:p>
          <w:p w14:paraId="6DB8AB65" w14:textId="1240C204" w:rsidR="00283260" w:rsidRPr="0084681A" w:rsidRDefault="00283260" w:rsidP="00283260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22"/>
                <w:szCs w:val="22"/>
              </w:rPr>
            </w:pPr>
            <w:r w:rsidRPr="0084681A">
              <w:rPr>
                <w:rFonts w:asciiTheme="majorHAnsi" w:hAnsiTheme="majorHAnsi" w:cs="ArialMT"/>
                <w:sz w:val="22"/>
                <w:szCs w:val="22"/>
              </w:rPr>
              <w:t>details in art works from</w:t>
            </w:r>
          </w:p>
          <w:p w14:paraId="05634DA7" w14:textId="6E7D18D6" w:rsidR="00283260" w:rsidRPr="0084681A" w:rsidRDefault="00283260" w:rsidP="00283260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22"/>
                <w:szCs w:val="22"/>
              </w:rPr>
            </w:pPr>
            <w:proofErr w:type="gramStart"/>
            <w:r w:rsidRPr="0084681A">
              <w:rPr>
                <w:rFonts w:asciiTheme="majorHAnsi" w:hAnsiTheme="majorHAnsi" w:cs="ArialMT"/>
                <w:sz w:val="22"/>
                <w:szCs w:val="22"/>
              </w:rPr>
              <w:t>different</w:t>
            </w:r>
            <w:proofErr w:type="gramEnd"/>
            <w:r w:rsidRPr="0084681A">
              <w:rPr>
                <w:rFonts w:asciiTheme="majorHAnsi" w:hAnsiTheme="majorHAnsi" w:cs="ArialMT"/>
                <w:sz w:val="22"/>
                <w:szCs w:val="22"/>
              </w:rPr>
              <w:t xml:space="preserve"> times or places and explains how these details help reveal information about the work.</w:t>
            </w:r>
          </w:p>
        </w:tc>
        <w:tc>
          <w:tcPr>
            <w:tcW w:w="0" w:type="auto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12" w:space="0" w:color="C9C9C9"/>
            </w:tcBorders>
            <w:vAlign w:val="center"/>
            <w:hideMark/>
          </w:tcPr>
          <w:p w14:paraId="3BDF3853" w14:textId="77777777" w:rsidR="000D7E55" w:rsidRPr="0084681A" w:rsidRDefault="000D7E55" w:rsidP="000D7E55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22"/>
                <w:szCs w:val="22"/>
              </w:rPr>
            </w:pPr>
            <w:r w:rsidRPr="0084681A">
              <w:rPr>
                <w:rFonts w:asciiTheme="majorHAnsi" w:hAnsiTheme="majorHAnsi" w:cs="ArialMT"/>
                <w:sz w:val="22"/>
                <w:szCs w:val="22"/>
              </w:rPr>
              <w:t>Compares and contrasts</w:t>
            </w:r>
          </w:p>
          <w:p w14:paraId="49D3A175" w14:textId="1883BB53" w:rsidR="000D7E55" w:rsidRPr="0084681A" w:rsidRDefault="000D7E55" w:rsidP="000D7E55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22"/>
                <w:szCs w:val="22"/>
              </w:rPr>
            </w:pPr>
            <w:r w:rsidRPr="0084681A">
              <w:rPr>
                <w:rFonts w:asciiTheme="majorHAnsi" w:hAnsiTheme="majorHAnsi" w:cs="ArialMT"/>
                <w:sz w:val="22"/>
                <w:szCs w:val="22"/>
              </w:rPr>
              <w:t>multiple details in art works from different times</w:t>
            </w:r>
          </w:p>
          <w:p w14:paraId="4DA6BCE2" w14:textId="3035FA34" w:rsidR="000D7E55" w:rsidRPr="0084681A" w:rsidRDefault="000D7E55" w:rsidP="000D7E55">
            <w:pPr>
              <w:autoSpaceDE w:val="0"/>
              <w:autoSpaceDN w:val="0"/>
              <w:adjustRightInd w:val="0"/>
              <w:rPr>
                <w:rFonts w:asciiTheme="majorHAnsi" w:hAnsiTheme="majorHAnsi" w:cs="ArialMT"/>
                <w:sz w:val="22"/>
                <w:szCs w:val="22"/>
              </w:rPr>
            </w:pPr>
            <w:r w:rsidRPr="0084681A">
              <w:rPr>
                <w:rFonts w:asciiTheme="majorHAnsi" w:hAnsiTheme="majorHAnsi" w:cs="ArialMT"/>
                <w:sz w:val="22"/>
                <w:szCs w:val="22"/>
              </w:rPr>
              <w:t xml:space="preserve">or places and </w:t>
            </w:r>
            <w:r w:rsidR="0019727D" w:rsidRPr="0084681A">
              <w:rPr>
                <w:rFonts w:asciiTheme="majorHAnsi" w:hAnsiTheme="majorHAnsi" w:cs="ArialMT"/>
                <w:sz w:val="22"/>
                <w:szCs w:val="22"/>
              </w:rPr>
              <w:t xml:space="preserve">thoroughly </w:t>
            </w:r>
            <w:r w:rsidRPr="0084681A">
              <w:rPr>
                <w:rFonts w:asciiTheme="majorHAnsi" w:hAnsiTheme="majorHAnsi" w:cs="ArialMT"/>
                <w:sz w:val="22"/>
                <w:szCs w:val="22"/>
              </w:rPr>
              <w:t>explains how these details help reveal information about the work.</w:t>
            </w:r>
          </w:p>
        </w:tc>
      </w:tr>
    </w:tbl>
    <w:p w14:paraId="41564BB6" w14:textId="77777777" w:rsidR="006466B7" w:rsidRPr="0084681A" w:rsidRDefault="006466B7" w:rsidP="006466B7">
      <w:pPr>
        <w:rPr>
          <w:rFonts w:asciiTheme="majorHAnsi" w:eastAsia="Times New Roman" w:hAnsiTheme="majorHAnsi" w:cs="Times New Roman"/>
          <w:vanish/>
          <w:sz w:val="20"/>
          <w:szCs w:val="20"/>
        </w:rPr>
      </w:pPr>
    </w:p>
    <w:p w14:paraId="26A35DAF" w14:textId="77777777" w:rsidR="00146222" w:rsidRPr="0084681A" w:rsidRDefault="00146222">
      <w:pPr>
        <w:rPr>
          <w:rFonts w:asciiTheme="majorHAnsi" w:hAnsiTheme="majorHAnsi"/>
        </w:rPr>
      </w:pPr>
    </w:p>
    <w:sectPr w:rsidR="00146222" w:rsidRPr="0084681A" w:rsidSect="006466B7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C2CFD" w14:textId="77777777" w:rsidR="006F0378" w:rsidRDefault="006F0378" w:rsidP="007C72CD">
      <w:r>
        <w:separator/>
      </w:r>
    </w:p>
  </w:endnote>
  <w:endnote w:type="continuationSeparator" w:id="0">
    <w:p w14:paraId="24F39806" w14:textId="77777777" w:rsidR="006F0378" w:rsidRDefault="006F0378" w:rsidP="007C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FA617" w14:textId="77777777" w:rsidR="00AA071C" w:rsidRDefault="00AA071C" w:rsidP="00AA071C">
    <w:pPr>
      <w:rPr>
        <w:sz w:val="16"/>
      </w:rPr>
    </w:pPr>
    <w:r>
      <w:rPr>
        <w:sz w:val="16"/>
      </w:rPr>
      <w:t>Adapted from the National Core Arts Standards © 2014 National Coalition for Core Arts Standards. Rights administered by the State Education Agency Directors of Arts Education. Dover, DE. www.nationalartsstandards.org      All rights reserved.</w:t>
    </w:r>
  </w:p>
  <w:p w14:paraId="0DD0CAC4" w14:textId="1B0E92F2" w:rsidR="007C72CD" w:rsidRDefault="007C72CD" w:rsidP="007C72C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8E086" w14:textId="77777777" w:rsidR="006F0378" w:rsidRDefault="006F0378" w:rsidP="007C72CD">
      <w:r>
        <w:separator/>
      </w:r>
    </w:p>
  </w:footnote>
  <w:footnote w:type="continuationSeparator" w:id="0">
    <w:p w14:paraId="218B7FB1" w14:textId="77777777" w:rsidR="006F0378" w:rsidRDefault="006F0378" w:rsidP="007C7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B7"/>
    <w:rsid w:val="0002446D"/>
    <w:rsid w:val="00041613"/>
    <w:rsid w:val="000D7E55"/>
    <w:rsid w:val="001213D6"/>
    <w:rsid w:val="0012781C"/>
    <w:rsid w:val="00130520"/>
    <w:rsid w:val="001345E6"/>
    <w:rsid w:val="00146222"/>
    <w:rsid w:val="00172AAD"/>
    <w:rsid w:val="001737CC"/>
    <w:rsid w:val="00190933"/>
    <w:rsid w:val="0019727D"/>
    <w:rsid w:val="001C744C"/>
    <w:rsid w:val="002002D7"/>
    <w:rsid w:val="002026B2"/>
    <w:rsid w:val="00210164"/>
    <w:rsid w:val="00254B4A"/>
    <w:rsid w:val="00283260"/>
    <w:rsid w:val="002F05F1"/>
    <w:rsid w:val="00316A85"/>
    <w:rsid w:val="00325597"/>
    <w:rsid w:val="003454F9"/>
    <w:rsid w:val="00352E11"/>
    <w:rsid w:val="003541FE"/>
    <w:rsid w:val="0039734C"/>
    <w:rsid w:val="003E7D2C"/>
    <w:rsid w:val="00407CA0"/>
    <w:rsid w:val="00450E81"/>
    <w:rsid w:val="00495DB7"/>
    <w:rsid w:val="004E7BF0"/>
    <w:rsid w:val="00521BF6"/>
    <w:rsid w:val="005318D7"/>
    <w:rsid w:val="005541EB"/>
    <w:rsid w:val="00565E51"/>
    <w:rsid w:val="005D60D7"/>
    <w:rsid w:val="006466B7"/>
    <w:rsid w:val="006740B8"/>
    <w:rsid w:val="006F0378"/>
    <w:rsid w:val="006F526C"/>
    <w:rsid w:val="00706129"/>
    <w:rsid w:val="00732E0A"/>
    <w:rsid w:val="0077410D"/>
    <w:rsid w:val="007843B5"/>
    <w:rsid w:val="007C72CD"/>
    <w:rsid w:val="00833FE3"/>
    <w:rsid w:val="00846026"/>
    <w:rsid w:val="0084681A"/>
    <w:rsid w:val="00885D8C"/>
    <w:rsid w:val="008921F9"/>
    <w:rsid w:val="00935FB5"/>
    <w:rsid w:val="009B5F9E"/>
    <w:rsid w:val="009F252B"/>
    <w:rsid w:val="009F5EA7"/>
    <w:rsid w:val="00A13F1D"/>
    <w:rsid w:val="00A2393C"/>
    <w:rsid w:val="00A264A5"/>
    <w:rsid w:val="00A5341A"/>
    <w:rsid w:val="00A62D1C"/>
    <w:rsid w:val="00A832AC"/>
    <w:rsid w:val="00AA071C"/>
    <w:rsid w:val="00B40CBE"/>
    <w:rsid w:val="00B636CB"/>
    <w:rsid w:val="00B76441"/>
    <w:rsid w:val="00B951D4"/>
    <w:rsid w:val="00C87816"/>
    <w:rsid w:val="00D00F35"/>
    <w:rsid w:val="00D3304D"/>
    <w:rsid w:val="00D51B42"/>
    <w:rsid w:val="00DD622F"/>
    <w:rsid w:val="00E60A3D"/>
    <w:rsid w:val="00EF05CF"/>
    <w:rsid w:val="00F45A56"/>
    <w:rsid w:val="00F574A7"/>
    <w:rsid w:val="00F654E5"/>
    <w:rsid w:val="00F81D0D"/>
    <w:rsid w:val="00F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2F4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6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2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CD"/>
  </w:style>
  <w:style w:type="paragraph" w:styleId="Footer">
    <w:name w:val="footer"/>
    <w:basedOn w:val="Normal"/>
    <w:link w:val="FooterChar"/>
    <w:uiPriority w:val="99"/>
    <w:unhideWhenUsed/>
    <w:rsid w:val="007C72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CD"/>
  </w:style>
  <w:style w:type="character" w:styleId="Hyperlink">
    <w:name w:val="Hyperlink"/>
    <w:basedOn w:val="DefaultParagraphFont"/>
    <w:uiPriority w:val="99"/>
    <w:unhideWhenUsed/>
    <w:rsid w:val="007C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66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2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CD"/>
  </w:style>
  <w:style w:type="paragraph" w:styleId="Footer">
    <w:name w:val="footer"/>
    <w:basedOn w:val="Normal"/>
    <w:link w:val="FooterChar"/>
    <w:uiPriority w:val="99"/>
    <w:unhideWhenUsed/>
    <w:rsid w:val="007C72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CD"/>
  </w:style>
  <w:style w:type="character" w:styleId="Hyperlink">
    <w:name w:val="Hyperlink"/>
    <w:basedOn w:val="DefaultParagraphFont"/>
    <w:uiPriority w:val="99"/>
    <w:unhideWhenUsed/>
    <w:rsid w:val="007C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3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7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0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0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1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6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0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Joyce Huser</cp:lastModifiedBy>
  <cp:revision>37</cp:revision>
  <dcterms:created xsi:type="dcterms:W3CDTF">2015-04-29T15:58:00Z</dcterms:created>
  <dcterms:modified xsi:type="dcterms:W3CDTF">2015-05-21T16:52:00Z</dcterms:modified>
</cp:coreProperties>
</file>