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A3" w:rsidRPr="00567543" w:rsidRDefault="00E639A3" w:rsidP="00E639A3">
      <w:pPr>
        <w:jc w:val="center"/>
        <w:rPr>
          <w:b/>
          <w:sz w:val="24"/>
        </w:rPr>
      </w:pPr>
      <w:r w:rsidRPr="00567543">
        <w:rPr>
          <w:b/>
          <w:sz w:val="24"/>
        </w:rPr>
        <w:t>Forming Questions that Enhance Deeper Thinking</w:t>
      </w:r>
    </w:p>
    <w:p w:rsidR="004E6251" w:rsidRPr="00567543" w:rsidRDefault="00E639A3" w:rsidP="00E639A3">
      <w:pPr>
        <w:rPr>
          <w:lang w:val="en"/>
        </w:rPr>
      </w:pPr>
      <w:r w:rsidRPr="00567543">
        <w:rPr>
          <w:lang w:val="en"/>
        </w:rPr>
        <w:t xml:space="preserve">Asking in-depth, meaningful questions is an effective way to encourage students to think beyond the given.  </w:t>
      </w:r>
      <w:r w:rsidR="007D1A43">
        <w:rPr>
          <w:lang w:val="en"/>
        </w:rPr>
        <w:t>Active</w:t>
      </w:r>
      <w:r w:rsidR="007D1A43" w:rsidRPr="00567543">
        <w:rPr>
          <w:lang w:val="en"/>
        </w:rPr>
        <w:t xml:space="preserve"> </w:t>
      </w:r>
      <w:r w:rsidR="004E6251" w:rsidRPr="00567543">
        <w:rPr>
          <w:lang w:val="en"/>
        </w:rPr>
        <w:t>questioning</w:t>
      </w:r>
      <w:r w:rsidRPr="00567543">
        <w:rPr>
          <w:lang w:val="en"/>
        </w:rPr>
        <w:t xml:space="preserve"> </w:t>
      </w:r>
      <w:r w:rsidR="004E6251" w:rsidRPr="00567543">
        <w:rPr>
          <w:lang w:val="en"/>
        </w:rPr>
        <w:t>engage</w:t>
      </w:r>
      <w:r w:rsidR="003122D5" w:rsidRPr="00567543">
        <w:rPr>
          <w:lang w:val="en"/>
        </w:rPr>
        <w:t>s</w:t>
      </w:r>
      <w:r w:rsidR="004E6251" w:rsidRPr="00567543">
        <w:rPr>
          <w:lang w:val="en"/>
        </w:rPr>
        <w:t xml:space="preserve"> </w:t>
      </w:r>
      <w:r w:rsidRPr="00567543">
        <w:rPr>
          <w:lang w:val="en"/>
        </w:rPr>
        <w:t xml:space="preserve">students </w:t>
      </w:r>
      <w:r w:rsidR="004E6251" w:rsidRPr="00567543">
        <w:rPr>
          <w:lang w:val="en"/>
        </w:rPr>
        <w:t xml:space="preserve">and </w:t>
      </w:r>
      <w:r w:rsidRPr="00567543">
        <w:rPr>
          <w:lang w:val="en"/>
        </w:rPr>
        <w:t>help</w:t>
      </w:r>
      <w:r w:rsidR="003122D5" w:rsidRPr="00567543">
        <w:rPr>
          <w:lang w:val="en"/>
        </w:rPr>
        <w:t>s</w:t>
      </w:r>
      <w:r w:rsidR="00014099">
        <w:rPr>
          <w:lang w:val="en"/>
        </w:rPr>
        <w:t xml:space="preserve"> them see </w:t>
      </w:r>
      <w:r w:rsidRPr="00567543">
        <w:rPr>
          <w:lang w:val="en"/>
        </w:rPr>
        <w:t>connections between the sub</w:t>
      </w:r>
      <w:r w:rsidR="004E6251" w:rsidRPr="00567543">
        <w:rPr>
          <w:lang w:val="en"/>
        </w:rPr>
        <w:t>ject matter and their own lives.  This allows learning to have</w:t>
      </w:r>
      <w:r w:rsidRPr="00567543">
        <w:rPr>
          <w:lang w:val="en"/>
        </w:rPr>
        <w:t xml:space="preserve"> meaning. </w:t>
      </w:r>
      <w:r w:rsidR="00567543">
        <w:rPr>
          <w:lang w:val="en"/>
        </w:rPr>
        <w:t xml:space="preserve"> </w:t>
      </w:r>
      <w:r w:rsidR="00F623E5">
        <w:rPr>
          <w:lang w:val="en"/>
        </w:rPr>
        <w:t>It</w:t>
      </w:r>
      <w:r w:rsidRPr="00567543">
        <w:rPr>
          <w:lang w:val="en"/>
        </w:rPr>
        <w:t xml:space="preserve"> help</w:t>
      </w:r>
      <w:r w:rsidR="00F623E5">
        <w:rPr>
          <w:lang w:val="en"/>
        </w:rPr>
        <w:t xml:space="preserve">s </w:t>
      </w:r>
      <w:r w:rsidRPr="00567543">
        <w:rPr>
          <w:lang w:val="en"/>
        </w:rPr>
        <w:t xml:space="preserve">students become more motivated and self-directed by asking the right questions. </w:t>
      </w:r>
      <w:r w:rsidR="003122D5" w:rsidRPr="00567543">
        <w:rPr>
          <w:lang w:val="en"/>
        </w:rPr>
        <w:t xml:space="preserve"> Essential Questions, Unit Questions, and Content Questions </w:t>
      </w:r>
      <w:r w:rsidR="00F44F38">
        <w:rPr>
          <w:lang w:val="en"/>
        </w:rPr>
        <w:t xml:space="preserve">build on one another and </w:t>
      </w:r>
      <w:r w:rsidR="003122D5" w:rsidRPr="00567543">
        <w:rPr>
          <w:lang w:val="en"/>
        </w:rPr>
        <w:t>can be defined in the following ways.</w:t>
      </w:r>
    </w:p>
    <w:p w:rsidR="00567543" w:rsidRPr="00567543" w:rsidRDefault="00567543" w:rsidP="00567543">
      <w:p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b/>
          <w:bCs/>
          <w:lang w:val="en"/>
        </w:rPr>
        <w:t>Essential Questions:</w:t>
      </w:r>
    </w:p>
    <w:p w:rsidR="004E6251" w:rsidRPr="00567543" w:rsidRDefault="004E6251" w:rsidP="00567543">
      <w:p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t xml:space="preserve">Essential questions are “questions that are not answerable with finality in a brief sentence….” Their aim is to “stimulate thought, to provoke inquiry, and to spark more questions—including thoughtful student </w:t>
      </w:r>
      <w:r w:rsidR="004A05A6">
        <w:t>questions</w:t>
      </w:r>
      <w:r w:rsidR="00920078">
        <w:t>.  I</w:t>
      </w:r>
      <w:r w:rsidRPr="00567543">
        <w:t>nstead of thinking of content as something to be covered, consider knowledge and skill as the means of addressing questions central to understa</w:t>
      </w:r>
      <w:r w:rsidR="00B61D4F">
        <w:t>nding key issues</w:t>
      </w:r>
      <w:r w:rsidRPr="00567543">
        <w:t xml:space="preserve">.” </w:t>
      </w:r>
      <w:proofErr w:type="gramStart"/>
      <w:r w:rsidR="00B61D4F" w:rsidRPr="00B61D4F">
        <w:rPr>
          <w:sz w:val="18"/>
          <w:szCs w:val="18"/>
        </w:rPr>
        <w:t>(</w:t>
      </w:r>
      <w:r w:rsidR="003122D5" w:rsidRPr="00B61D4F">
        <w:rPr>
          <w:rFonts w:eastAsia="Times New Roman" w:cs="Times New Roman"/>
          <w:sz w:val="18"/>
          <w:szCs w:val="18"/>
          <w:lang w:val="en"/>
        </w:rPr>
        <w:t xml:space="preserve">Wiggins, G. and </w:t>
      </w:r>
      <w:proofErr w:type="spellStart"/>
      <w:r w:rsidR="003122D5" w:rsidRPr="00B61D4F">
        <w:rPr>
          <w:rFonts w:eastAsia="Times New Roman" w:cs="Times New Roman"/>
          <w:sz w:val="18"/>
          <w:szCs w:val="18"/>
          <w:lang w:val="en"/>
        </w:rPr>
        <w:t>McTighe</w:t>
      </w:r>
      <w:proofErr w:type="spellEnd"/>
      <w:r w:rsidR="003122D5" w:rsidRPr="00B61D4F">
        <w:rPr>
          <w:rFonts w:eastAsia="Times New Roman" w:cs="Times New Roman"/>
          <w:sz w:val="18"/>
          <w:szCs w:val="18"/>
          <w:lang w:val="en"/>
        </w:rPr>
        <w:t>, J. (2001).</w:t>
      </w:r>
      <w:proofErr w:type="gramEnd"/>
      <w:r w:rsidR="003122D5" w:rsidRPr="00B61D4F">
        <w:rPr>
          <w:rFonts w:eastAsia="Times New Roman" w:cs="Times New Roman"/>
          <w:sz w:val="18"/>
          <w:szCs w:val="18"/>
          <w:lang w:val="en"/>
        </w:rPr>
        <w:t xml:space="preserve"> </w:t>
      </w:r>
      <w:proofErr w:type="gramStart"/>
      <w:r w:rsidR="003122D5" w:rsidRPr="00B61D4F">
        <w:rPr>
          <w:rFonts w:eastAsia="Times New Roman" w:cs="Times New Roman"/>
          <w:i/>
          <w:iCs/>
          <w:sz w:val="18"/>
          <w:szCs w:val="18"/>
          <w:lang w:val="en"/>
        </w:rPr>
        <w:t>Understanding by design</w:t>
      </w:r>
      <w:r w:rsidR="003122D5" w:rsidRPr="00B61D4F">
        <w:rPr>
          <w:rFonts w:eastAsia="Times New Roman" w:cs="Times New Roman"/>
          <w:sz w:val="18"/>
          <w:szCs w:val="18"/>
          <w:lang w:val="en"/>
        </w:rPr>
        <w:t>.</w:t>
      </w:r>
      <w:proofErr w:type="gramEnd"/>
      <w:r w:rsidR="003122D5" w:rsidRPr="00B61D4F">
        <w:rPr>
          <w:rFonts w:eastAsia="Times New Roman" w:cs="Times New Roman"/>
          <w:sz w:val="18"/>
          <w:szCs w:val="18"/>
          <w:lang w:val="en"/>
        </w:rPr>
        <w:t xml:space="preserve"> New Jersey: Prentice-Hall, </w:t>
      </w:r>
      <w:proofErr w:type="spellStart"/>
      <w:r w:rsidR="003122D5" w:rsidRPr="00B61D4F">
        <w:rPr>
          <w:rFonts w:eastAsia="Times New Roman" w:cs="Times New Roman"/>
          <w:sz w:val="18"/>
          <w:szCs w:val="18"/>
          <w:lang w:val="en"/>
        </w:rPr>
        <w:t>Inc</w:t>
      </w:r>
      <w:proofErr w:type="spellEnd"/>
      <w:r w:rsidR="00B61D4F" w:rsidRPr="00B61D4F">
        <w:rPr>
          <w:rFonts w:eastAsia="Times New Roman" w:cs="Times New Roman"/>
          <w:sz w:val="18"/>
          <w:szCs w:val="18"/>
          <w:lang w:val="en"/>
        </w:rPr>
        <w:t>)</w:t>
      </w:r>
      <w:r w:rsidR="00E35F13">
        <w:rPr>
          <w:rFonts w:eastAsia="Times New Roman" w:cs="Times New Roman"/>
          <w:sz w:val="18"/>
          <w:szCs w:val="18"/>
          <w:lang w:val="en"/>
        </w:rPr>
        <w:t>”</w:t>
      </w:r>
      <w:r w:rsidR="003122D5" w:rsidRPr="00B61D4F">
        <w:rPr>
          <w:rFonts w:eastAsia="Times New Roman" w:cs="Times New Roman"/>
          <w:sz w:val="18"/>
          <w:szCs w:val="18"/>
          <w:lang w:val="en"/>
        </w:rPr>
        <w:t>.</w:t>
      </w:r>
    </w:p>
    <w:p w:rsidR="00920078" w:rsidRPr="00B61D4F" w:rsidRDefault="00920078" w:rsidP="00920078">
      <w:pPr>
        <w:spacing w:before="100" w:beforeAutospacing="1" w:after="100" w:afterAutospacing="1" w:line="240" w:lineRule="auto"/>
        <w:rPr>
          <w:rFonts w:eastAsia="Times New Roman" w:cs="Times New Roman"/>
          <w:sz w:val="20"/>
          <w:lang w:val="en"/>
        </w:rPr>
      </w:pPr>
      <w:r w:rsidRPr="00B61D4F">
        <w:rPr>
          <w:rFonts w:eastAsia="Times New Roman" w:cs="Times New Roman"/>
          <w:bCs/>
          <w:sz w:val="20"/>
          <w:lang w:val="en"/>
        </w:rPr>
        <w:t>Essential Questions:</w:t>
      </w:r>
      <w:bookmarkStart w:id="0" w:name="_GoBack"/>
      <w:bookmarkEnd w:id="0"/>
    </w:p>
    <w:p w:rsidR="00567543" w:rsidRPr="00567543" w:rsidRDefault="00567543" w:rsidP="0056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 xml:space="preserve">Introduce big, enduring ideas that </w:t>
      </w:r>
      <w:r w:rsidR="005E2EDE">
        <w:rPr>
          <w:rFonts w:eastAsia="Times New Roman" w:cs="Times New Roman"/>
          <w:lang w:val="en"/>
        </w:rPr>
        <w:t xml:space="preserve">can </w:t>
      </w:r>
      <w:r w:rsidRPr="00567543">
        <w:rPr>
          <w:rFonts w:eastAsia="Times New Roman" w:cs="Times New Roman"/>
          <w:lang w:val="en"/>
        </w:rPr>
        <w:t>cross all subjects.  They provide a bridge between many units, a year’s worth of study</w:t>
      </w:r>
      <w:r w:rsidR="009058B3">
        <w:rPr>
          <w:rFonts w:eastAsia="Times New Roman" w:cs="Times New Roman"/>
          <w:lang w:val="en"/>
        </w:rPr>
        <w:t>,</w:t>
      </w:r>
      <w:r w:rsidR="009058B3" w:rsidRPr="009058B3">
        <w:rPr>
          <w:rFonts w:eastAsia="Times New Roman" w:cs="Times New Roman"/>
          <w:lang w:val="en"/>
        </w:rPr>
        <w:t xml:space="preserve"> </w:t>
      </w:r>
      <w:r w:rsidR="009058B3" w:rsidRPr="00567543">
        <w:rPr>
          <w:rFonts w:eastAsia="Times New Roman" w:cs="Times New Roman"/>
          <w:lang w:val="en"/>
        </w:rPr>
        <w:t xml:space="preserve">or </w:t>
      </w:r>
      <w:r w:rsidR="009058B3">
        <w:rPr>
          <w:rFonts w:eastAsia="Times New Roman" w:cs="Times New Roman"/>
          <w:lang w:val="en"/>
        </w:rPr>
        <w:t xml:space="preserve">sometimes </w:t>
      </w:r>
      <w:r w:rsidR="009058B3" w:rsidRPr="00567543">
        <w:rPr>
          <w:rFonts w:eastAsia="Times New Roman" w:cs="Times New Roman"/>
          <w:lang w:val="en"/>
        </w:rPr>
        <w:t>even</w:t>
      </w:r>
      <w:r w:rsidR="009058B3" w:rsidRPr="009058B3">
        <w:rPr>
          <w:rFonts w:eastAsia="Times New Roman" w:cs="Times New Roman"/>
          <w:lang w:val="en"/>
        </w:rPr>
        <w:t xml:space="preserve"> </w:t>
      </w:r>
      <w:r w:rsidR="009058B3" w:rsidRPr="00567543">
        <w:rPr>
          <w:rFonts w:eastAsia="Times New Roman" w:cs="Times New Roman"/>
          <w:lang w:val="en"/>
        </w:rPr>
        <w:t>subject areas</w:t>
      </w:r>
      <w:r w:rsidRPr="00567543">
        <w:rPr>
          <w:rFonts w:eastAsia="Times New Roman" w:cs="Times New Roman"/>
          <w:lang w:val="en"/>
        </w:rPr>
        <w:t>.</w:t>
      </w:r>
      <w:r w:rsidR="007D1A43">
        <w:rPr>
          <w:rFonts w:eastAsia="Times New Roman" w:cs="Times New Roman"/>
          <w:lang w:val="en"/>
        </w:rPr>
        <w:t xml:space="preserve">  For example: </w:t>
      </w:r>
      <w:r w:rsidR="007D1A43">
        <w:rPr>
          <w:rFonts w:eastAsia="Times New Roman" w:cs="Times New Roman"/>
          <w:i/>
          <w:iCs/>
          <w:lang w:val="en"/>
        </w:rPr>
        <w:t>How does collaboration expand the creative process</w:t>
      </w:r>
      <w:r w:rsidR="007D1A43" w:rsidRPr="00567543">
        <w:rPr>
          <w:rFonts w:eastAsia="Times New Roman" w:cs="Times New Roman"/>
          <w:i/>
          <w:iCs/>
          <w:lang w:val="en"/>
        </w:rPr>
        <w:t>? </w:t>
      </w:r>
    </w:p>
    <w:p w:rsidR="00567543" w:rsidRPr="00567543" w:rsidRDefault="00567543" w:rsidP="0056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>Have many answers. Answers to these questions are not found in a book. They are often lif</w:t>
      </w:r>
      <w:r w:rsidR="009058B3">
        <w:rPr>
          <w:rFonts w:eastAsia="Times New Roman" w:cs="Times New Roman"/>
          <w:lang w:val="en"/>
        </w:rPr>
        <w:t xml:space="preserve">e’s big questions. </w:t>
      </w:r>
    </w:p>
    <w:p w:rsidR="00567543" w:rsidRPr="00567543" w:rsidRDefault="00567543" w:rsidP="0056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>Capture students’ attention an</w:t>
      </w:r>
      <w:r w:rsidR="00920078">
        <w:rPr>
          <w:rFonts w:eastAsia="Times New Roman" w:cs="Times New Roman"/>
          <w:lang w:val="en"/>
        </w:rPr>
        <w:t>d require higher-order thinking.</w:t>
      </w:r>
      <w:r w:rsidRPr="00567543">
        <w:rPr>
          <w:rFonts w:eastAsia="Times New Roman" w:cs="Times New Roman"/>
          <w:lang w:val="en"/>
        </w:rPr>
        <w:t xml:space="preserve"> </w:t>
      </w:r>
      <w:r w:rsidR="00920078">
        <w:rPr>
          <w:rFonts w:eastAsia="Times New Roman" w:cs="Times New Roman"/>
          <w:lang w:val="en"/>
        </w:rPr>
        <w:t xml:space="preserve"> T</w:t>
      </w:r>
      <w:r w:rsidRPr="00567543">
        <w:rPr>
          <w:rFonts w:eastAsia="Times New Roman" w:cs="Times New Roman"/>
          <w:lang w:val="en"/>
        </w:rPr>
        <w:t>hey challenge students to dissect their thinking, apply their values, and interpret their experiences.</w:t>
      </w:r>
    </w:p>
    <w:p w:rsidR="00567543" w:rsidRPr="00567543" w:rsidRDefault="00567543" w:rsidP="00567543">
      <w:p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b/>
          <w:bCs/>
          <w:lang w:val="en"/>
        </w:rPr>
        <w:t>Unit Questions:</w:t>
      </w:r>
    </w:p>
    <w:p w:rsidR="00567543" w:rsidRPr="005E2EDE" w:rsidRDefault="00567543" w:rsidP="005E2E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 xml:space="preserve">Are open-ended and invite exploration of ideas that are specific to a topic, subject, or unit of study. </w:t>
      </w:r>
      <w:r w:rsidR="009058B3" w:rsidRPr="00567543">
        <w:rPr>
          <w:rFonts w:eastAsia="Times New Roman" w:cs="Times New Roman"/>
          <w:lang w:val="en"/>
        </w:rPr>
        <w:t>For example:</w:t>
      </w:r>
      <w:r w:rsidR="009058B3">
        <w:rPr>
          <w:rFonts w:eastAsia="Times New Roman" w:cs="Times New Roman"/>
          <w:lang w:val="en"/>
        </w:rPr>
        <w:t xml:space="preserve"> </w:t>
      </w:r>
      <w:r w:rsidR="005E2EDE">
        <w:rPr>
          <w:rFonts w:eastAsia="Times New Roman" w:cs="Times New Roman"/>
          <w:i/>
          <w:lang w:val="en"/>
        </w:rPr>
        <w:t xml:space="preserve">How </w:t>
      </w:r>
      <w:proofErr w:type="gramStart"/>
      <w:r w:rsidR="005E2EDE">
        <w:rPr>
          <w:rFonts w:eastAsia="Times New Roman" w:cs="Times New Roman"/>
          <w:i/>
          <w:lang w:val="en"/>
        </w:rPr>
        <w:t>can</w:t>
      </w:r>
      <w:proofErr w:type="gramEnd"/>
      <w:r w:rsidR="005E2EDE">
        <w:rPr>
          <w:rFonts w:eastAsia="Times New Roman" w:cs="Times New Roman"/>
          <w:i/>
          <w:lang w:val="en"/>
        </w:rPr>
        <w:t xml:space="preserve"> what you know about gravity enhance the creation of your art work?</w:t>
      </w:r>
      <w:r w:rsidR="005E2EDE">
        <w:rPr>
          <w:rFonts w:eastAsia="Times New Roman" w:cs="Times New Roman"/>
          <w:lang w:val="en"/>
        </w:rPr>
        <w:t xml:space="preserve">  </w:t>
      </w:r>
      <w:r w:rsidRPr="005E2EDE">
        <w:rPr>
          <w:rFonts w:eastAsia="Times New Roman" w:cs="Times New Roman"/>
          <w:lang w:val="en"/>
        </w:rPr>
        <w:t>Teams of teachers from different subjects</w:t>
      </w:r>
      <w:r w:rsidR="00B61D4F">
        <w:rPr>
          <w:rFonts w:eastAsia="Times New Roman" w:cs="Times New Roman"/>
          <w:lang w:val="en"/>
        </w:rPr>
        <w:t xml:space="preserve"> can use their own unique unit q</w:t>
      </w:r>
      <w:r w:rsidRPr="005E2EDE">
        <w:rPr>
          <w:rFonts w:eastAsia="Times New Roman" w:cs="Times New Roman"/>
          <w:lang w:val="en"/>
        </w:rPr>
        <w:t xml:space="preserve">uestions to support </w:t>
      </w:r>
      <w:r w:rsidR="00B61D4F">
        <w:rPr>
          <w:rFonts w:eastAsia="Times New Roman" w:cs="Times New Roman"/>
          <w:lang w:val="en"/>
        </w:rPr>
        <w:t>one common, unifying essential q</w:t>
      </w:r>
      <w:r w:rsidRPr="005E2EDE">
        <w:rPr>
          <w:rFonts w:eastAsia="Times New Roman" w:cs="Times New Roman"/>
          <w:lang w:val="en"/>
        </w:rPr>
        <w:t>uestion across the team. </w:t>
      </w:r>
      <w:r w:rsidR="009058B3" w:rsidRPr="005E2EDE">
        <w:rPr>
          <w:rFonts w:eastAsia="Times New Roman" w:cs="Times New Roman"/>
          <w:lang w:val="en"/>
        </w:rPr>
        <w:t xml:space="preserve"> </w:t>
      </w:r>
    </w:p>
    <w:p w:rsidR="00567543" w:rsidRPr="00567543" w:rsidRDefault="00567543" w:rsidP="0056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>Pose problems or serve as discussion start</w:t>
      </w:r>
      <w:r w:rsidR="00B61D4F">
        <w:rPr>
          <w:rFonts w:eastAsia="Times New Roman" w:cs="Times New Roman"/>
          <w:lang w:val="en"/>
        </w:rPr>
        <w:t>ers that support the essential q</w:t>
      </w:r>
      <w:r w:rsidRPr="00567543">
        <w:rPr>
          <w:rFonts w:eastAsia="Times New Roman" w:cs="Times New Roman"/>
          <w:lang w:val="en"/>
        </w:rPr>
        <w:t xml:space="preserve">uestion. </w:t>
      </w:r>
    </w:p>
    <w:p w:rsidR="00567543" w:rsidRPr="00920078" w:rsidRDefault="00567543" w:rsidP="0056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>Encourage exploration, provoke and sustain interest, and allow for unique responses and</w:t>
      </w:r>
      <w:r w:rsidR="00B61D4F">
        <w:rPr>
          <w:rFonts w:eastAsia="Times New Roman" w:cs="Times New Roman"/>
          <w:lang w:val="en"/>
        </w:rPr>
        <w:t xml:space="preserve"> creative approaches. They encourage</w:t>
      </w:r>
      <w:r w:rsidRPr="00567543">
        <w:rPr>
          <w:rFonts w:eastAsia="Times New Roman" w:cs="Times New Roman"/>
          <w:lang w:val="en"/>
        </w:rPr>
        <w:t xml:space="preserve"> students to interpret the facts themselves.</w:t>
      </w:r>
    </w:p>
    <w:p w:rsidR="00567543" w:rsidRPr="00567543" w:rsidRDefault="00567543" w:rsidP="00567543">
      <w:p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b/>
          <w:bCs/>
          <w:lang w:val="en"/>
        </w:rPr>
        <w:t>Content Questions:</w:t>
      </w:r>
    </w:p>
    <w:p w:rsidR="00567543" w:rsidRPr="00567543" w:rsidRDefault="00567543" w:rsidP="0056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>Typically have clear-cut answers or specific “right” answers and are categorized as “closed” questions. </w:t>
      </w:r>
      <w:r w:rsidR="005E2EDE" w:rsidRPr="00421B3E">
        <w:rPr>
          <w:rFonts w:eastAsia="Times New Roman" w:cs="Times New Roman"/>
          <w:i/>
          <w:lang w:val="en"/>
        </w:rPr>
        <w:t xml:space="preserve">Which color(s) </w:t>
      </w:r>
      <w:r w:rsidR="00421B3E" w:rsidRPr="00421B3E">
        <w:rPr>
          <w:rFonts w:eastAsia="Times New Roman" w:cs="Times New Roman"/>
          <w:i/>
          <w:lang w:val="en"/>
        </w:rPr>
        <w:t>can be used to emphasize the focus of your art work?</w:t>
      </w:r>
    </w:p>
    <w:p w:rsidR="00567543" w:rsidRPr="00567543" w:rsidRDefault="00567543" w:rsidP="0056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 xml:space="preserve">Align with content standards and learning objectives and support the </w:t>
      </w:r>
      <w:r w:rsidR="00B61D4F">
        <w:rPr>
          <w:rFonts w:eastAsia="Times New Roman" w:cs="Times New Roman"/>
          <w:lang w:val="en"/>
        </w:rPr>
        <w:t>essential and u</w:t>
      </w:r>
      <w:r w:rsidRPr="00567543">
        <w:rPr>
          <w:rFonts w:eastAsia="Times New Roman" w:cs="Times New Roman"/>
          <w:lang w:val="en"/>
        </w:rPr>
        <w:t xml:space="preserve">nit </w:t>
      </w:r>
      <w:r w:rsidR="00B61D4F">
        <w:rPr>
          <w:rFonts w:eastAsia="Times New Roman" w:cs="Times New Roman"/>
          <w:lang w:val="en"/>
        </w:rPr>
        <w:t>q</w:t>
      </w:r>
      <w:r w:rsidRPr="00567543">
        <w:rPr>
          <w:rFonts w:eastAsia="Times New Roman" w:cs="Times New Roman"/>
          <w:lang w:val="en"/>
        </w:rPr>
        <w:t>uestions.  </w:t>
      </w:r>
    </w:p>
    <w:p w:rsidR="00567543" w:rsidRPr="00567543" w:rsidRDefault="00567543" w:rsidP="0056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 xml:space="preserve">Test students’ ability to recall fact based information. They usually require students to address who, what, where, and when. </w:t>
      </w:r>
    </w:p>
    <w:p w:rsidR="00567543" w:rsidRPr="00567543" w:rsidRDefault="00567543" w:rsidP="0056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567543">
        <w:rPr>
          <w:rFonts w:eastAsia="Times New Roman" w:cs="Times New Roman"/>
          <w:lang w:val="en"/>
        </w:rPr>
        <w:t>Require knowledge and comprehension skills to answer.</w:t>
      </w:r>
    </w:p>
    <w:p w:rsidR="004E6251" w:rsidRDefault="004E6251" w:rsidP="00E639A3"/>
    <w:sectPr w:rsidR="004E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314"/>
    <w:multiLevelType w:val="multilevel"/>
    <w:tmpl w:val="2870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B27C4"/>
    <w:multiLevelType w:val="multilevel"/>
    <w:tmpl w:val="7E6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43806"/>
    <w:multiLevelType w:val="multilevel"/>
    <w:tmpl w:val="E50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E2295"/>
    <w:multiLevelType w:val="multilevel"/>
    <w:tmpl w:val="C2E6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60FF1"/>
    <w:multiLevelType w:val="multilevel"/>
    <w:tmpl w:val="9DC4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74CC5"/>
    <w:multiLevelType w:val="multilevel"/>
    <w:tmpl w:val="EAC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A3"/>
    <w:rsid w:val="00014099"/>
    <w:rsid w:val="00100497"/>
    <w:rsid w:val="002A45DC"/>
    <w:rsid w:val="003122D5"/>
    <w:rsid w:val="00421B3E"/>
    <w:rsid w:val="004A05A6"/>
    <w:rsid w:val="004E6251"/>
    <w:rsid w:val="004F6BE6"/>
    <w:rsid w:val="00567543"/>
    <w:rsid w:val="005B0130"/>
    <w:rsid w:val="005E2EDE"/>
    <w:rsid w:val="00632F43"/>
    <w:rsid w:val="006F2449"/>
    <w:rsid w:val="007D1A43"/>
    <w:rsid w:val="007F4700"/>
    <w:rsid w:val="008D0BA3"/>
    <w:rsid w:val="009058B3"/>
    <w:rsid w:val="00920078"/>
    <w:rsid w:val="00971010"/>
    <w:rsid w:val="00B61D4F"/>
    <w:rsid w:val="00CF43AA"/>
    <w:rsid w:val="00E35F13"/>
    <w:rsid w:val="00E639A3"/>
    <w:rsid w:val="00F44F38"/>
    <w:rsid w:val="00F623E5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6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62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6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62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Huser</dc:creator>
  <cp:lastModifiedBy>Joyce Huser</cp:lastModifiedBy>
  <cp:revision>17</cp:revision>
  <cp:lastPrinted>2015-01-27T19:53:00Z</cp:lastPrinted>
  <dcterms:created xsi:type="dcterms:W3CDTF">2015-01-27T19:08:00Z</dcterms:created>
  <dcterms:modified xsi:type="dcterms:W3CDTF">2015-07-01T19:38:00Z</dcterms:modified>
</cp:coreProperties>
</file>